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2F0" w:rsidRDefault="00EB42F0" w:rsidP="00EB42F0">
      <w:pPr>
        <w:spacing w:line="520" w:lineRule="exact"/>
        <w:rPr>
          <w:rFonts w:ascii="仿宋_GB2312" w:eastAsia="仿宋_GB2312" w:hAnsi="宋体"/>
          <w:sz w:val="32"/>
          <w:szCs w:val="32"/>
        </w:rPr>
      </w:pPr>
      <w:r w:rsidRPr="00EB42F0">
        <w:rPr>
          <w:rFonts w:ascii="仿宋_GB2312" w:eastAsia="仿宋_GB2312" w:hAnsi="宋体" w:hint="eastAsia"/>
          <w:sz w:val="32"/>
          <w:szCs w:val="32"/>
        </w:rPr>
        <w:t>附件：</w:t>
      </w:r>
    </w:p>
    <w:p w:rsidR="00EB42F0" w:rsidRPr="00EB42F0" w:rsidRDefault="00EB42F0" w:rsidP="00EB42F0">
      <w:pPr>
        <w:spacing w:line="520" w:lineRule="exact"/>
        <w:rPr>
          <w:rFonts w:ascii="仿宋_GB2312" w:eastAsia="仿宋_GB2312" w:hAnsi="宋体"/>
          <w:sz w:val="32"/>
          <w:szCs w:val="32"/>
        </w:rPr>
      </w:pPr>
    </w:p>
    <w:p w:rsidR="00EB42F0" w:rsidRDefault="00EB42F0" w:rsidP="00EB42F0">
      <w:pPr>
        <w:spacing w:line="520" w:lineRule="exact"/>
        <w:jc w:val="center"/>
        <w:rPr>
          <w:rFonts w:ascii="宋体" w:eastAsia="宋体" w:hAnsi="宋体"/>
          <w:b/>
          <w:sz w:val="44"/>
        </w:rPr>
      </w:pPr>
      <w:r>
        <w:rPr>
          <w:rFonts w:ascii="宋体" w:eastAsia="宋体" w:hAnsi="宋体" w:hint="eastAsia"/>
          <w:b/>
          <w:sz w:val="44"/>
        </w:rPr>
        <w:t>遂溪县政府规范性文件设定的证明事项清理结果目录</w:t>
      </w:r>
    </w:p>
    <w:p w:rsidR="00EB42F0" w:rsidRDefault="00EB42F0" w:rsidP="00EB42F0">
      <w:pPr>
        <w:pStyle w:val="a7"/>
        <w:spacing w:line="520" w:lineRule="exact"/>
        <w:rPr>
          <w:rFonts w:ascii="方正小标宋简体"/>
          <w:b/>
          <w:sz w:val="29"/>
        </w:rPr>
      </w:pPr>
    </w:p>
    <w:tbl>
      <w:tblPr>
        <w:tblW w:w="13287" w:type="dxa"/>
        <w:jc w:val="center"/>
        <w:tblInd w:w="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6"/>
        <w:gridCol w:w="1469"/>
        <w:gridCol w:w="2833"/>
        <w:gridCol w:w="1135"/>
        <w:gridCol w:w="1135"/>
        <w:gridCol w:w="1135"/>
        <w:gridCol w:w="1135"/>
        <w:gridCol w:w="1276"/>
        <w:gridCol w:w="1418"/>
        <w:gridCol w:w="1005"/>
      </w:tblGrid>
      <w:tr w:rsidR="00EB42F0" w:rsidRPr="00EB42F0" w:rsidTr="00EB42F0">
        <w:trPr>
          <w:trHeight w:val="593"/>
          <w:jc w:val="center"/>
        </w:trPr>
        <w:tc>
          <w:tcPr>
            <w:tcW w:w="746" w:type="dxa"/>
            <w:vMerge w:val="restart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序号</w:t>
            </w:r>
          </w:p>
        </w:tc>
        <w:tc>
          <w:tcPr>
            <w:tcW w:w="1469" w:type="dxa"/>
            <w:vMerge w:val="restart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证明名称</w:t>
            </w:r>
          </w:p>
        </w:tc>
        <w:tc>
          <w:tcPr>
            <w:tcW w:w="2833" w:type="dxa"/>
            <w:vAlign w:val="center"/>
          </w:tcPr>
          <w:p w:rsidR="00EB42F0" w:rsidRPr="00EB42F0" w:rsidRDefault="00EB42F0" w:rsidP="00EB42F0">
            <w:pPr>
              <w:pStyle w:val="TableParagraph"/>
              <w:spacing w:before="65"/>
              <w:ind w:left="953" w:right="957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设定依据</w:t>
            </w:r>
          </w:p>
        </w:tc>
        <w:tc>
          <w:tcPr>
            <w:tcW w:w="4540" w:type="dxa"/>
            <w:gridSpan w:val="4"/>
            <w:vAlign w:val="center"/>
          </w:tcPr>
          <w:p w:rsidR="00EB42F0" w:rsidRPr="00EB42F0" w:rsidRDefault="00EB42F0" w:rsidP="00EB42F0">
            <w:pPr>
              <w:pStyle w:val="TableParagraph"/>
              <w:spacing w:before="65"/>
              <w:ind w:left="1067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实施基本情况</w:t>
            </w:r>
          </w:p>
        </w:tc>
        <w:tc>
          <w:tcPr>
            <w:tcW w:w="1276" w:type="dxa"/>
            <w:vMerge w:val="restart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索要层级</w:t>
            </w:r>
          </w:p>
        </w:tc>
        <w:tc>
          <w:tcPr>
            <w:tcW w:w="1418" w:type="dxa"/>
            <w:vMerge w:val="restart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便民替代措施</w:t>
            </w:r>
          </w:p>
        </w:tc>
        <w:tc>
          <w:tcPr>
            <w:tcW w:w="1005" w:type="dxa"/>
            <w:vMerge w:val="restart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备</w:t>
            </w:r>
            <w:r>
              <w:rPr>
                <w:rFonts w:ascii="仿宋_GB2312" w:eastAsia="仿宋_GB2312" w:hint="eastAsia"/>
                <w:b/>
                <w:sz w:val="21"/>
              </w:rPr>
              <w:t>注</w:t>
            </w:r>
          </w:p>
        </w:tc>
      </w:tr>
      <w:tr w:rsidR="00EB42F0" w:rsidRPr="00EB42F0" w:rsidTr="00EB42F0">
        <w:trPr>
          <w:trHeight w:val="618"/>
          <w:jc w:val="center"/>
        </w:trPr>
        <w:tc>
          <w:tcPr>
            <w:tcW w:w="746" w:type="dxa"/>
            <w:vMerge/>
            <w:tcBorders>
              <w:top w:val="nil"/>
            </w:tcBorders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</w:p>
        </w:tc>
        <w:tc>
          <w:tcPr>
            <w:tcW w:w="1469" w:type="dxa"/>
            <w:vMerge/>
            <w:tcBorders>
              <w:top w:val="nil"/>
            </w:tcBorders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</w:p>
        </w:tc>
        <w:tc>
          <w:tcPr>
            <w:tcW w:w="2833" w:type="dxa"/>
            <w:vAlign w:val="center"/>
          </w:tcPr>
          <w:p w:rsid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名称、制定（修订）日期</w:t>
            </w:r>
          </w:p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及条文内容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索要部门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具体用途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开具单位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center"/>
              <w:rPr>
                <w:rFonts w:ascii="仿宋_GB2312" w:eastAsia="仿宋_GB2312"/>
                <w:b/>
                <w:sz w:val="21"/>
              </w:rPr>
            </w:pPr>
            <w:r w:rsidRPr="00EB42F0">
              <w:rPr>
                <w:rFonts w:ascii="仿宋_GB2312" w:eastAsia="仿宋_GB2312" w:hint="eastAsia"/>
                <w:b/>
                <w:sz w:val="21"/>
              </w:rPr>
              <w:t>年受理量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EB42F0" w:rsidRPr="00EB42F0" w:rsidRDefault="00EB42F0" w:rsidP="00D7688F">
            <w:pPr>
              <w:rPr>
                <w:rFonts w:ascii="仿宋_GB2312" w:eastAsia="仿宋_GB2312"/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EB42F0" w:rsidRPr="00EB42F0" w:rsidRDefault="00EB42F0" w:rsidP="00D7688F">
            <w:pPr>
              <w:rPr>
                <w:rFonts w:ascii="仿宋_GB2312" w:eastAsia="仿宋_GB2312"/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:rsidR="00EB42F0" w:rsidRPr="00EB42F0" w:rsidRDefault="00EB42F0" w:rsidP="00D7688F">
            <w:pPr>
              <w:rPr>
                <w:rFonts w:ascii="仿宋_GB2312" w:eastAsia="仿宋_GB2312"/>
                <w:sz w:val="2"/>
                <w:szCs w:val="2"/>
              </w:rPr>
            </w:pPr>
          </w:p>
        </w:tc>
      </w:tr>
      <w:tr w:rsidR="00EB42F0" w:rsidRPr="00EB42F0" w:rsidTr="00EB42F0">
        <w:trPr>
          <w:trHeight w:val="2198"/>
          <w:jc w:val="center"/>
        </w:trPr>
        <w:tc>
          <w:tcPr>
            <w:tcW w:w="746" w:type="dxa"/>
            <w:vAlign w:val="center"/>
          </w:tcPr>
          <w:p w:rsidR="00EB42F0" w:rsidRPr="00EB42F0" w:rsidRDefault="00EB42F0" w:rsidP="00EB42F0">
            <w:pPr>
              <w:pStyle w:val="TableParagraph"/>
              <w:spacing w:before="78"/>
              <w:ind w:left="314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469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身份证、户口簿、家庭成员收入证明</w:t>
            </w:r>
          </w:p>
        </w:tc>
        <w:tc>
          <w:tcPr>
            <w:tcW w:w="2833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《遂溪县公共租赁住房管理办法》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遂府</w:t>
            </w:r>
            <w:r>
              <w:rPr>
                <w:rFonts w:ascii="仿宋_GB2312" w:eastAsia="仿宋_GB2312" w:hint="eastAsia"/>
                <w:sz w:val="24"/>
                <w:szCs w:val="24"/>
              </w:rPr>
              <w:t>〔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2013</w:t>
            </w:r>
            <w:r>
              <w:rPr>
                <w:rFonts w:ascii="仿宋_GB2312" w:eastAsia="仿宋_GB2312" w:hint="eastAsia"/>
                <w:sz w:val="24"/>
                <w:szCs w:val="24"/>
              </w:rPr>
              <w:t>〕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23号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第十九条、《湛江市市区公共租赁住房管理办法》（湛府</w:t>
            </w:r>
            <w:r>
              <w:rPr>
                <w:rFonts w:ascii="仿宋_GB2312" w:eastAsia="仿宋_GB2312" w:hint="eastAsia"/>
                <w:sz w:val="24"/>
                <w:szCs w:val="24"/>
              </w:rPr>
              <w:t>〔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2012</w:t>
            </w:r>
            <w:r>
              <w:rPr>
                <w:rFonts w:ascii="仿宋_GB2312" w:eastAsia="仿宋_GB2312" w:hint="eastAsia"/>
                <w:sz w:val="24"/>
                <w:szCs w:val="24"/>
              </w:rPr>
              <w:t>〕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84号）第十九条。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遂溪县房产管理局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申请保障性住房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公安部门，居委会（工作单位）、县民政局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乡级、县级</w:t>
            </w:r>
          </w:p>
        </w:tc>
        <w:tc>
          <w:tcPr>
            <w:tcW w:w="1418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:rsidR="00EB42F0" w:rsidRPr="00EB42F0" w:rsidTr="0042633E">
        <w:trPr>
          <w:trHeight w:val="2116"/>
          <w:jc w:val="center"/>
        </w:trPr>
        <w:tc>
          <w:tcPr>
            <w:tcW w:w="746" w:type="dxa"/>
            <w:vAlign w:val="center"/>
          </w:tcPr>
          <w:p w:rsidR="00EB42F0" w:rsidRPr="00EB42F0" w:rsidRDefault="00EB42F0" w:rsidP="00EB42F0">
            <w:pPr>
              <w:pStyle w:val="TableParagraph"/>
              <w:spacing w:before="78"/>
              <w:ind w:left="314"/>
              <w:jc w:val="center"/>
              <w:rPr>
                <w:rFonts w:ascii="仿宋_GB2312" w:eastAsia="仿宋_GB2312"/>
                <w:sz w:val="24"/>
                <w:szCs w:val="24"/>
                <w:lang w:val="en-US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val="en-US"/>
              </w:rPr>
              <w:t>2</w:t>
            </w:r>
          </w:p>
        </w:tc>
        <w:tc>
          <w:tcPr>
            <w:tcW w:w="1469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身份证、户口簿（户籍证明）、学历证明、社会保险缴纳证明。</w:t>
            </w:r>
          </w:p>
        </w:tc>
        <w:tc>
          <w:tcPr>
            <w:tcW w:w="2833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《遂溪县公共租赁住房管理办法》(遂府</w:t>
            </w:r>
            <w:r>
              <w:rPr>
                <w:rFonts w:ascii="仿宋_GB2312" w:eastAsia="仿宋_GB2312" w:hint="eastAsia"/>
                <w:sz w:val="24"/>
                <w:szCs w:val="24"/>
              </w:rPr>
              <w:t>〔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2013</w:t>
            </w:r>
            <w:r>
              <w:rPr>
                <w:rFonts w:ascii="仿宋_GB2312" w:eastAsia="仿宋_GB2312" w:hint="eastAsia"/>
                <w:sz w:val="24"/>
                <w:szCs w:val="24"/>
              </w:rPr>
              <w:t>〕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23号) 第二十四条、《湛江市市区公共租赁住房管理办法》（湛府</w:t>
            </w:r>
            <w:r>
              <w:rPr>
                <w:rFonts w:ascii="仿宋_GB2312" w:eastAsia="仿宋_GB2312" w:hint="eastAsia"/>
                <w:sz w:val="24"/>
                <w:szCs w:val="24"/>
              </w:rPr>
              <w:t>〔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2012</w:t>
            </w:r>
            <w:r>
              <w:rPr>
                <w:rFonts w:ascii="仿宋_GB2312" w:eastAsia="仿宋_GB2312" w:hint="eastAsia"/>
                <w:sz w:val="24"/>
                <w:szCs w:val="24"/>
              </w:rPr>
              <w:t>〕</w:t>
            </w:r>
            <w:r w:rsidRPr="00EB42F0">
              <w:rPr>
                <w:rFonts w:ascii="仿宋_GB2312" w:eastAsia="仿宋_GB2312" w:hint="eastAsia"/>
                <w:sz w:val="24"/>
                <w:szCs w:val="24"/>
              </w:rPr>
              <w:t>84号）第二十五条。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遂溪县房产管理局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申请保障性住房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公安部门、教育部门、县社保局</w:t>
            </w:r>
          </w:p>
        </w:tc>
        <w:tc>
          <w:tcPr>
            <w:tcW w:w="113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B42F0" w:rsidRPr="00EB42F0" w:rsidRDefault="00EB42F0" w:rsidP="0042633E">
            <w:pPr>
              <w:pStyle w:val="TableParagraph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B42F0">
              <w:rPr>
                <w:rFonts w:ascii="仿宋_GB2312" w:eastAsia="仿宋_GB2312" w:hint="eastAsia"/>
                <w:sz w:val="24"/>
                <w:szCs w:val="24"/>
              </w:rPr>
              <w:t>县级</w:t>
            </w:r>
          </w:p>
        </w:tc>
        <w:tc>
          <w:tcPr>
            <w:tcW w:w="1418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EB42F0" w:rsidRPr="00EB42F0" w:rsidRDefault="00EB42F0" w:rsidP="00EB42F0">
            <w:pPr>
              <w:pStyle w:val="TableParagraph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 w:rsidR="00EB42F0" w:rsidRPr="00EB42F0" w:rsidRDefault="00EB42F0" w:rsidP="00EB42F0">
      <w:pPr>
        <w:tabs>
          <w:tab w:val="left" w:pos="3141"/>
        </w:tabs>
        <w:jc w:val="left"/>
        <w:rPr>
          <w:rFonts w:ascii="仿宋" w:eastAsia="仿宋" w:hAnsi="仿宋" w:cs="仿宋"/>
          <w:sz w:val="32"/>
          <w:szCs w:val="32"/>
        </w:rPr>
      </w:pPr>
    </w:p>
    <w:sectPr w:rsidR="00EB42F0" w:rsidRPr="00EB42F0" w:rsidSect="00EB42F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195" w:rsidRDefault="00251195" w:rsidP="00EB42F0">
      <w:pPr>
        <w:ind w:firstLine="420"/>
      </w:pPr>
      <w:r>
        <w:separator/>
      </w:r>
    </w:p>
  </w:endnote>
  <w:endnote w:type="continuationSeparator" w:id="1">
    <w:p w:rsidR="00251195" w:rsidRDefault="00251195" w:rsidP="00EB42F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195" w:rsidRDefault="00251195" w:rsidP="00EB42F0">
      <w:pPr>
        <w:ind w:firstLine="420"/>
      </w:pPr>
      <w:r>
        <w:separator/>
      </w:r>
    </w:p>
  </w:footnote>
  <w:footnote w:type="continuationSeparator" w:id="1">
    <w:p w:rsidR="00251195" w:rsidRDefault="00251195" w:rsidP="00EB42F0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AB54C72"/>
    <w:rsid w:val="00211CA9"/>
    <w:rsid w:val="00251195"/>
    <w:rsid w:val="003444F0"/>
    <w:rsid w:val="0042633E"/>
    <w:rsid w:val="00432E86"/>
    <w:rsid w:val="004349B9"/>
    <w:rsid w:val="004960C3"/>
    <w:rsid w:val="004F6534"/>
    <w:rsid w:val="00565FC2"/>
    <w:rsid w:val="0057393D"/>
    <w:rsid w:val="007C7068"/>
    <w:rsid w:val="00923DE9"/>
    <w:rsid w:val="00A07BA5"/>
    <w:rsid w:val="00AD35A8"/>
    <w:rsid w:val="00CA5345"/>
    <w:rsid w:val="00CA67A1"/>
    <w:rsid w:val="00D61208"/>
    <w:rsid w:val="00DD6072"/>
    <w:rsid w:val="00E35EEF"/>
    <w:rsid w:val="00EB42F0"/>
    <w:rsid w:val="00ED5F59"/>
    <w:rsid w:val="0CBE6C09"/>
    <w:rsid w:val="0DD5714E"/>
    <w:rsid w:val="0EBC66C8"/>
    <w:rsid w:val="1FB55DF7"/>
    <w:rsid w:val="24CF7EF2"/>
    <w:rsid w:val="2E72206D"/>
    <w:rsid w:val="381B72F3"/>
    <w:rsid w:val="3FA414FA"/>
    <w:rsid w:val="75293708"/>
    <w:rsid w:val="761F43DA"/>
    <w:rsid w:val="77FA5A64"/>
    <w:rsid w:val="7AB54C72"/>
    <w:rsid w:val="7B1D4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12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D6120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sid w:val="00D61208"/>
    <w:rPr>
      <w:color w:val="3E3E3E"/>
      <w:u w:val="none"/>
    </w:rPr>
  </w:style>
  <w:style w:type="character" w:styleId="a4">
    <w:name w:val="Hyperlink"/>
    <w:basedOn w:val="a0"/>
    <w:qFormat/>
    <w:rsid w:val="00D61208"/>
    <w:rPr>
      <w:color w:val="3E3E3E"/>
      <w:u w:val="none"/>
    </w:rPr>
  </w:style>
  <w:style w:type="paragraph" w:styleId="a5">
    <w:name w:val="header"/>
    <w:basedOn w:val="a"/>
    <w:link w:val="Char"/>
    <w:rsid w:val="00EB4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B42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qFormat/>
    <w:rsid w:val="00EB4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B42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ody Text"/>
    <w:basedOn w:val="a"/>
    <w:link w:val="Char1"/>
    <w:uiPriority w:val="1"/>
    <w:qFormat/>
    <w:rsid w:val="00EB42F0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4"/>
      <w:lang w:val="zh-CN" w:bidi="zh-CN"/>
    </w:rPr>
  </w:style>
  <w:style w:type="character" w:customStyle="1" w:styleId="Char1">
    <w:name w:val="正文文本 Char"/>
    <w:basedOn w:val="a0"/>
    <w:link w:val="a7"/>
    <w:uiPriority w:val="1"/>
    <w:rsid w:val="00EB42F0"/>
    <w:rPr>
      <w:rFonts w:ascii="仿宋_GB2312" w:eastAsia="仿宋_GB2312" w:hAnsi="仿宋_GB2312" w:cs="仿宋_GB2312"/>
      <w:sz w:val="24"/>
      <w:szCs w:val="24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EB42F0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paragraph" w:styleId="a8">
    <w:name w:val="Normal Indent"/>
    <w:basedOn w:val="a"/>
    <w:rsid w:val="003444F0"/>
    <w:pPr>
      <w:ind w:firstLineChars="200" w:firstLine="420"/>
    </w:pPr>
    <w:rPr>
      <w:rFonts w:ascii="Times New Roman" w:eastAsia="仿宋_GB2312" w:hAnsi="Times New Roman" w:cs="Times New Roman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71E43-2A36-4FEC-99C1-32118A649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李斌鹏</cp:lastModifiedBy>
  <cp:revision>3</cp:revision>
  <cp:lastPrinted>2019-01-04T01:44:00Z</cp:lastPrinted>
  <dcterms:created xsi:type="dcterms:W3CDTF">2019-01-04T08:21:00Z</dcterms:created>
  <dcterms:modified xsi:type="dcterms:W3CDTF">2019-01-04T08:22:00Z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