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方正小标宋简体" w:eastAsia="方正小标宋简体"/>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遂溪县水务局2020年度法治政府</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建设工作情况报告</w:t>
      </w:r>
    </w:p>
    <w:p>
      <w:pPr>
        <w:spacing w:line="560" w:lineRule="exact"/>
        <w:rPr>
          <w:rFonts w:ascii="仿宋" w:hAnsi="仿宋" w:eastAsia="仿宋"/>
          <w:sz w:val="32"/>
          <w:szCs w:val="32"/>
        </w:rPr>
      </w:pPr>
    </w:p>
    <w:p>
      <w:pPr>
        <w:widowControl/>
        <w:shd w:val="clear" w:color="auto" w:fill="FFFFFF"/>
        <w:spacing w:line="56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2020年，在县委、县政府的正确领导下，我局深入贯彻习近平新时代中国特色社会主义思想和党的</w:t>
      </w:r>
      <w:bookmarkStart w:id="0" w:name="_GoBack"/>
      <w:bookmarkEnd w:id="0"/>
      <w:r>
        <w:rPr>
          <w:rFonts w:hint="eastAsia" w:ascii="仿宋_GB2312" w:hAnsi="仿宋" w:eastAsia="仿宋_GB2312" w:cs="宋体"/>
          <w:color w:val="000000"/>
          <w:kern w:val="0"/>
          <w:sz w:val="32"/>
          <w:szCs w:val="32"/>
        </w:rPr>
        <w:t xml:space="preserve">十九大精神，按照《遂溪县2020年依法行政工作要点》，依法履职、审慎用权，不断提高行政执法能力，强化监督监管，全面推进依法治水工作，努力推动全县水利工作法治化，现就我局2020年度法治政府建设工作情况报告如下： </w:t>
      </w:r>
    </w:p>
    <w:p>
      <w:pPr>
        <w:spacing w:line="560" w:lineRule="exact"/>
        <w:rPr>
          <w:rFonts w:ascii="黑体" w:hAnsi="黑体" w:eastAsia="黑体"/>
          <w:sz w:val="32"/>
          <w:szCs w:val="32"/>
        </w:rPr>
      </w:pPr>
      <w:r>
        <w:rPr>
          <w:rFonts w:hint="eastAsia" w:ascii="仿宋" w:hAnsi="仿宋" w:eastAsia="仿宋"/>
          <w:sz w:val="32"/>
          <w:szCs w:val="32"/>
        </w:rPr>
        <w:t xml:space="preserve">   </w:t>
      </w:r>
      <w:r>
        <w:rPr>
          <w:rFonts w:hint="eastAsia" w:ascii="黑体" w:hAnsi="黑体" w:eastAsia="黑体"/>
          <w:sz w:val="32"/>
          <w:szCs w:val="32"/>
        </w:rPr>
        <w:t xml:space="preserve"> 一、2020年度依法行政工作主要举措和成效</w:t>
      </w:r>
    </w:p>
    <w:p>
      <w:pPr>
        <w:spacing w:line="560" w:lineRule="exact"/>
        <w:ind w:firstLine="645"/>
        <w:rPr>
          <w:rFonts w:ascii="仿宋_GB2312" w:hAnsi="仿宋" w:eastAsia="仿宋_GB2312" w:cs="宋体"/>
          <w:color w:val="000000"/>
          <w:kern w:val="0"/>
          <w:sz w:val="32"/>
          <w:szCs w:val="32"/>
        </w:rPr>
      </w:pPr>
      <w:r>
        <w:rPr>
          <w:rFonts w:hint="eastAsia" w:ascii="楷体_GB2312" w:hAnsi="楷体" w:eastAsia="楷体_GB2312"/>
          <w:b/>
          <w:sz w:val="32"/>
          <w:szCs w:val="32"/>
        </w:rPr>
        <w:t>（一）加强组织统筹，推进队伍建设。</w:t>
      </w:r>
      <w:r>
        <w:rPr>
          <w:rFonts w:hint="eastAsia" w:ascii="仿宋_GB2312" w:hAnsi="仿宋" w:eastAsia="仿宋_GB2312" w:cs="宋体"/>
          <w:color w:val="000000"/>
          <w:kern w:val="0"/>
          <w:sz w:val="32"/>
          <w:szCs w:val="32"/>
        </w:rPr>
        <w:t>为有效推进我局依法行政工作，我局领导班子研究制定了《遂溪县水务局2020年度依法行政工作要点》，为全年的依法行政工作定下了总基调。为确保法治工作能够得到有效落实，根据机构改革后政策法规股并入办公室的实际情况，我局领导班子对局办公室工作人员进行了新的责任分工，部署了法治工作力量，压实了法治工作责任。此外，我局还落实了法律顾问制度，聘请了1名法律顾问，推进我局法治工作队伍建设，提高了业务水平，为法治工作提供有效保障。</w:t>
      </w:r>
    </w:p>
    <w:p>
      <w:pPr>
        <w:spacing w:line="560" w:lineRule="exact"/>
        <w:ind w:firstLine="643" w:firstLineChars="200"/>
        <w:rPr>
          <w:rFonts w:ascii="仿宋_GB2312" w:hAnsi="仿宋" w:eastAsia="仿宋_GB2312" w:cs="宋体"/>
          <w:color w:val="000000"/>
          <w:kern w:val="0"/>
          <w:sz w:val="32"/>
          <w:szCs w:val="32"/>
        </w:rPr>
      </w:pPr>
      <w:r>
        <w:rPr>
          <w:rFonts w:hint="eastAsia" w:ascii="楷体_GB2312" w:hAnsi="楷体" w:eastAsia="楷体_GB2312"/>
          <w:b/>
          <w:sz w:val="32"/>
          <w:szCs w:val="32"/>
        </w:rPr>
        <w:t>（二）推进职能转变，建设便民政府。</w:t>
      </w:r>
      <w:r>
        <w:rPr>
          <w:rFonts w:hint="eastAsia" w:ascii="仿宋_GB2312" w:hAnsi="仿宋" w:eastAsia="仿宋_GB2312" w:cs="宋体"/>
          <w:color w:val="000000"/>
          <w:kern w:val="0"/>
          <w:sz w:val="32"/>
          <w:szCs w:val="32"/>
        </w:rPr>
        <w:t>为推进职能转变，推进政务服务事项标准化、规范化建设。我局通过广东政务服务网向社会公布了我局认领的行政审批事项清单476项，其中行政许可18项、行政处罚389项、行政征收3项、行政强制14项、行政检查12项、行政奖励2项、行政给付1项、行政确认4项、行政裁决1项、其他权利32项，及时实行事项清单目录化、编码化、动态化管理。为加快实现政务服务“一网通办”和企业群众办事“只进一扇门”“最多跑一次”，落实审批服务“马上办、网上办、就近办、一次办”要求打下坚实基础。</w:t>
      </w:r>
    </w:p>
    <w:p>
      <w:pPr>
        <w:spacing w:line="560" w:lineRule="exact"/>
        <w:ind w:firstLine="643" w:firstLineChars="200"/>
        <w:rPr>
          <w:rFonts w:ascii="仿宋_GB2312" w:hAnsi="仿宋" w:eastAsia="仿宋_GB2312" w:cs="宋体"/>
          <w:color w:val="000000"/>
          <w:kern w:val="0"/>
          <w:sz w:val="32"/>
          <w:szCs w:val="32"/>
        </w:rPr>
      </w:pPr>
      <w:r>
        <w:rPr>
          <w:rFonts w:hint="eastAsia" w:ascii="楷体_GB2312" w:hAnsi="仿宋" w:eastAsia="楷体_GB2312"/>
          <w:b/>
          <w:sz w:val="32"/>
          <w:szCs w:val="32"/>
        </w:rPr>
        <w:t>（三）依法审慎用权，严把审批关口。</w:t>
      </w:r>
      <w:r>
        <w:rPr>
          <w:rFonts w:hint="eastAsia" w:ascii="仿宋_GB2312" w:hAnsi="仿宋" w:eastAsia="仿宋_GB2312" w:cs="宋体"/>
          <w:color w:val="000000"/>
          <w:kern w:val="0"/>
          <w:sz w:val="32"/>
          <w:szCs w:val="32"/>
        </w:rPr>
        <w:t>2020年，我局立足于行业职能，严把审批关口，保证行政审批的专业性、科学性、可行性，依法依规审批行政许可28宗，真正做到审慎用权，依法行政。同时，为了依法规范我县河砂开采工作，我局根据《中华人民共和国水法》《中</w:t>
      </w:r>
      <w:r>
        <w:rPr>
          <w:rFonts w:hint="eastAsia" w:ascii="仿宋_GB2312" w:hAnsi="仿宋" w:eastAsia="仿宋_GB2312" w:cs="宋体"/>
          <w:color w:val="000000"/>
          <w:kern w:val="0"/>
          <w:sz w:val="32"/>
          <w:szCs w:val="32"/>
          <w:lang w:eastAsia="zh-CN"/>
        </w:rPr>
        <w:t>华</w:t>
      </w:r>
      <w:r>
        <w:rPr>
          <w:rFonts w:hint="eastAsia" w:ascii="仿宋_GB2312" w:hAnsi="仿宋" w:eastAsia="仿宋_GB2312" w:cs="宋体"/>
          <w:color w:val="000000"/>
          <w:kern w:val="0"/>
          <w:sz w:val="32"/>
          <w:szCs w:val="32"/>
        </w:rPr>
        <w:t>人民共和国河道管理条例》《广东省河道采砂管理条例》等，组织编制了《遂溪县河道采砂规划（2021-2025）》，对我县河道采砂进行了科学规划，防止出现无序开采等行为，促进河砂可持续开采和有效保障河道安全。</w:t>
      </w:r>
    </w:p>
    <w:p>
      <w:pPr>
        <w:spacing w:line="560" w:lineRule="exact"/>
        <w:ind w:firstLine="643" w:firstLineChars="200"/>
        <w:rPr>
          <w:rFonts w:ascii="仿宋_GB2312" w:hAnsi="仿宋" w:eastAsia="仿宋_GB2312" w:cs="宋体"/>
          <w:color w:val="000000"/>
          <w:kern w:val="0"/>
          <w:sz w:val="32"/>
          <w:szCs w:val="32"/>
        </w:rPr>
      </w:pPr>
      <w:r>
        <w:rPr>
          <w:rFonts w:hint="eastAsia" w:ascii="楷体_GB2312" w:hAnsi="仿宋" w:eastAsia="楷体_GB2312"/>
          <w:b/>
          <w:sz w:val="32"/>
          <w:szCs w:val="32"/>
        </w:rPr>
        <w:t>（四）强化从严执法，维护社会稳定。</w:t>
      </w:r>
      <w:r>
        <w:rPr>
          <w:rFonts w:hint="eastAsia" w:ascii="仿宋_GB2312" w:hAnsi="仿宋" w:eastAsia="仿宋_GB2312"/>
          <w:b/>
          <w:sz w:val="32"/>
          <w:szCs w:val="32"/>
        </w:rPr>
        <w:t>一是</w:t>
      </w:r>
      <w:r>
        <w:rPr>
          <w:rFonts w:hint="eastAsia" w:ascii="仿宋_GB2312" w:hAnsi="仿宋" w:eastAsia="仿宋_GB2312" w:cs="仿宋"/>
          <w:color w:val="333333"/>
          <w:sz w:val="32"/>
          <w:szCs w:val="32"/>
        </w:rPr>
        <w:t>依法关闭自备水源井。一是制定印发《遂溪县关闭市政公共供水网覆盖范围内自备水源井工作方案》，</w:t>
      </w:r>
      <w:r>
        <w:rPr>
          <w:rFonts w:hint="eastAsia" w:ascii="仿宋_GB2312" w:hAnsi="仿宋_GB2312" w:eastAsia="仿宋_GB2312" w:cs="仿宋_GB2312"/>
          <w:sz w:val="32"/>
          <w:szCs w:val="32"/>
        </w:rPr>
        <w:t>依法关闭县市政公共供水网覆盖范围内自备水源井，促进水资源节约和合理开发，实现水资源可持续利用，促进经济社会可持续发展。</w:t>
      </w:r>
      <w:r>
        <w:rPr>
          <w:rFonts w:hint="eastAsia" w:ascii="仿宋_GB2312" w:hAnsi="仿宋" w:eastAsia="仿宋_GB2312"/>
          <w:b/>
          <w:sz w:val="32"/>
          <w:szCs w:val="32"/>
        </w:rPr>
        <w:t>二是</w:t>
      </w:r>
      <w:r>
        <w:rPr>
          <w:rFonts w:hint="eastAsia" w:ascii="仿宋_GB2312" w:hAnsi="仿宋" w:eastAsia="仿宋_GB2312" w:cs="宋体"/>
          <w:color w:val="000000"/>
          <w:kern w:val="0"/>
          <w:sz w:val="32"/>
          <w:szCs w:val="32"/>
        </w:rPr>
        <w:t>重拳治砂。结合扫黑除恶专项斗争，认真履行水行政执法职责，依法打击水事违法行为，共开展执法检查行动25场次，与公安、住建等单位联合行动7场次，出动执法人员180多人次，出动车辆35台次，取缔河道非法采砂场（点）9个，清理整治非法堆（洗）砂点4个，捣毁采砂船5艘，暂扣违法装砂车辆、钩机、铲车共3辆，发出限期整改拆除通知书6份，拆除河道违章建筑6处，立案查处河道非法采砂案2件，结案2件，行政罚款2.5万元，有效地保护了河道安全和生态环境。</w:t>
      </w:r>
    </w:p>
    <w:p>
      <w:pPr>
        <w:spacing w:line="560" w:lineRule="exact"/>
        <w:ind w:firstLine="643" w:firstLineChars="200"/>
        <w:rPr>
          <w:rFonts w:ascii="楷体_GB2312" w:hAnsi="仿宋" w:eastAsia="楷体_GB2312"/>
          <w:b/>
          <w:sz w:val="32"/>
          <w:szCs w:val="32"/>
        </w:rPr>
      </w:pPr>
      <w:r>
        <w:rPr>
          <w:rFonts w:hint="eastAsia" w:ascii="楷体_GB2312" w:hAnsi="仿宋" w:eastAsia="楷体_GB2312"/>
          <w:b/>
          <w:sz w:val="32"/>
          <w:szCs w:val="32"/>
        </w:rPr>
        <w:t>（五）开展普法教育，凝聚法治合力。</w:t>
      </w:r>
      <w:r>
        <w:rPr>
          <w:rFonts w:hint="eastAsia" w:ascii="仿宋_GB2312" w:hAnsi="仿宋" w:eastAsia="仿宋_GB2312" w:cs="仿宋"/>
          <w:b/>
          <w:color w:val="333333"/>
          <w:sz w:val="32"/>
          <w:szCs w:val="32"/>
        </w:rPr>
        <w:t>一是</w:t>
      </w:r>
      <w:r>
        <w:rPr>
          <w:rFonts w:hint="eastAsia" w:ascii="仿宋_GB2312" w:hAnsi="仿宋" w:eastAsia="仿宋_GB2312" w:cs="仿宋"/>
          <w:color w:val="333333"/>
          <w:sz w:val="32"/>
          <w:szCs w:val="32"/>
        </w:rPr>
        <w:t>征订各种普法学习资料，营造学法氛围。我局征订了《法制日报》《检察日报》等周刊一批，为我局干部职工提供了高质量的学法材料，满足了学法需求。</w:t>
      </w:r>
      <w:r>
        <w:rPr>
          <w:rFonts w:hint="eastAsia" w:ascii="仿宋_GB2312" w:hAnsi="仿宋" w:eastAsia="仿宋_GB2312" w:cs="仿宋"/>
          <w:b/>
          <w:color w:val="333333"/>
          <w:sz w:val="32"/>
          <w:szCs w:val="32"/>
        </w:rPr>
        <w:t>二是</w:t>
      </w:r>
      <w:r>
        <w:rPr>
          <w:rFonts w:hint="eastAsia" w:ascii="仿宋_GB2312" w:hAnsi="仿宋" w:eastAsia="仿宋_GB2312" w:cs="仿宋"/>
          <w:color w:val="333333"/>
          <w:sz w:val="32"/>
          <w:szCs w:val="32"/>
        </w:rPr>
        <w:t>深入宣传贯彻《水法》。</w:t>
      </w:r>
      <w:r>
        <w:rPr>
          <w:rFonts w:hint="eastAsia" w:ascii="仿宋_GB2312" w:hAnsi="Helvetica" w:eastAsia="仿宋_GB2312"/>
          <w:sz w:val="32"/>
          <w:szCs w:val="32"/>
        </w:rPr>
        <w:t>结合“世界水日”、“中国水周”宣传活动，深入广泛开展《水法》宣传教育活动，组织了3次集中宣传活动，发放有关宣传资料1100余份，充分利用电视、广播、宣传车、海报、微信等方式方法宣传教育，不断增强社会公众依法用水、保护水资源的意识</w:t>
      </w:r>
      <w:r>
        <w:rPr>
          <w:rFonts w:hint="eastAsia" w:ascii="仿宋_GB2312" w:hAnsi="仿宋" w:eastAsia="仿宋_GB2312"/>
          <w:sz w:val="32"/>
          <w:szCs w:val="32"/>
        </w:rPr>
        <w:t>，营造</w:t>
      </w:r>
      <w:r>
        <w:rPr>
          <w:rFonts w:ascii="仿宋_GB2312" w:hAnsi="仿宋" w:eastAsia="仿宋_GB2312"/>
          <w:sz w:val="32"/>
          <w:szCs w:val="32"/>
        </w:rPr>
        <w:t>全民参与、部门联</w:t>
      </w:r>
      <w:r>
        <w:rPr>
          <w:rFonts w:hint="eastAsia" w:ascii="仿宋_GB2312" w:hAnsi="仿宋" w:eastAsia="仿宋_GB2312"/>
          <w:sz w:val="32"/>
          <w:szCs w:val="32"/>
        </w:rPr>
        <w:t>动</w:t>
      </w:r>
      <w:r>
        <w:rPr>
          <w:rFonts w:ascii="仿宋_GB2312" w:hAnsi="仿宋" w:eastAsia="仿宋_GB2312"/>
          <w:sz w:val="32"/>
          <w:szCs w:val="32"/>
        </w:rPr>
        <w:t>、社会共治的水资源保护治理</w:t>
      </w:r>
      <w:r>
        <w:rPr>
          <w:rFonts w:hint="eastAsia" w:ascii="仿宋_GB2312" w:hAnsi="仿宋" w:eastAsia="仿宋_GB2312"/>
          <w:sz w:val="32"/>
          <w:szCs w:val="32"/>
        </w:rPr>
        <w:t>良好</w:t>
      </w:r>
      <w:r>
        <w:rPr>
          <w:rFonts w:ascii="仿宋_GB2312" w:hAnsi="仿宋" w:eastAsia="仿宋_GB2312"/>
          <w:sz w:val="32"/>
          <w:szCs w:val="32"/>
        </w:rPr>
        <w:t>社会氛围。</w:t>
      </w:r>
      <w:r>
        <w:rPr>
          <w:rFonts w:hint="eastAsia" w:ascii="仿宋_GB2312" w:hAnsi="仿宋" w:eastAsia="仿宋_GB2312"/>
          <w:b/>
          <w:sz w:val="32"/>
          <w:szCs w:val="32"/>
        </w:rPr>
        <w:t>三是</w:t>
      </w:r>
      <w:r>
        <w:rPr>
          <w:rFonts w:hint="eastAsia" w:ascii="仿宋_GB2312" w:hAnsi="仿宋" w:eastAsia="仿宋_GB2312"/>
          <w:sz w:val="32"/>
          <w:szCs w:val="32"/>
        </w:rPr>
        <w:t>参加执法专题培训，提升执法水平。</w:t>
      </w:r>
      <w:r>
        <w:rPr>
          <w:rFonts w:hint="eastAsia" w:ascii="仿宋_GB2312" w:hAnsi="仿宋" w:eastAsia="仿宋_GB2312" w:cs="仿宋"/>
          <w:color w:val="333333"/>
          <w:sz w:val="32"/>
          <w:szCs w:val="32"/>
        </w:rPr>
        <w:t>10月21日，我局组织6名执法人员参加了2020年度遂溪县行政执法人员法律知识专题培训，不断提高执法人员业务工作水平，强化执法队伍建设。</w:t>
      </w:r>
      <w:r>
        <w:rPr>
          <w:rFonts w:hint="eastAsia" w:ascii="仿宋_GB2312" w:hAnsi="仿宋" w:eastAsia="仿宋_GB2312" w:cs="仿宋"/>
          <w:b/>
          <w:color w:val="333333"/>
          <w:sz w:val="32"/>
          <w:szCs w:val="32"/>
        </w:rPr>
        <w:t>四是</w:t>
      </w:r>
      <w:r>
        <w:rPr>
          <w:rFonts w:hint="eastAsia" w:ascii="仿宋_GB2312" w:hAnsi="仿宋" w:eastAsia="仿宋_GB2312" w:cs="仿宋"/>
          <w:color w:val="333333"/>
          <w:sz w:val="32"/>
          <w:szCs w:val="32"/>
        </w:rPr>
        <w:t>举办法制专题学习。今年以来，我局组织开展《宪法》《行政许可法》《水法》等法律法规专题学习达到15次，有效提升了干部职工的法治意识。</w:t>
      </w:r>
      <w:r>
        <w:rPr>
          <w:rFonts w:hint="eastAsia" w:ascii="仿宋_GB2312" w:hAnsi="仿宋" w:eastAsia="仿宋_GB2312" w:cs="仿宋"/>
          <w:b/>
          <w:color w:val="333333"/>
          <w:sz w:val="32"/>
          <w:szCs w:val="32"/>
        </w:rPr>
        <w:t>五是</w:t>
      </w:r>
      <w:r>
        <w:rPr>
          <w:rFonts w:hint="eastAsia" w:ascii="仿宋_GB2312" w:hAnsi="仿宋" w:eastAsia="仿宋_GB2312" w:cs="仿宋"/>
          <w:color w:val="333333"/>
          <w:sz w:val="32"/>
          <w:szCs w:val="32"/>
        </w:rPr>
        <w:t>组织参加学法考试。为进一步提高我局全体干部学法的实效性和积极性,集中检验学法用法成效,推动学法用法工作深入开展,我局组织了全局领导干部及公职人员通过登录“广东省国家工作人员学法考试系统”进行无纸化学法及考试。今年,我局参考率和优秀率均达100%,大大巩固了学法成果。</w:t>
      </w:r>
    </w:p>
    <w:p>
      <w:pPr>
        <w:spacing w:line="560" w:lineRule="exact"/>
        <w:ind w:firstLine="643" w:firstLineChars="200"/>
        <w:rPr>
          <w:rFonts w:ascii="仿宋_GB2312" w:hAnsi="仿宋" w:eastAsia="仿宋_GB2312" w:cs="仿宋"/>
          <w:color w:val="333333"/>
          <w:sz w:val="32"/>
          <w:szCs w:val="32"/>
        </w:rPr>
      </w:pPr>
      <w:r>
        <w:rPr>
          <w:rFonts w:hint="eastAsia" w:ascii="楷体_GB2312" w:hAnsi="仿宋" w:eastAsia="楷体_GB2312"/>
          <w:b/>
          <w:sz w:val="32"/>
          <w:szCs w:val="32"/>
        </w:rPr>
        <w:t>（六）健全规章制度，保障依法行政。</w:t>
      </w:r>
      <w:r>
        <w:rPr>
          <w:rFonts w:hint="eastAsia" w:ascii="仿宋_GB2312" w:hAnsi="仿宋" w:eastAsia="仿宋_GB2312" w:cs="仿宋"/>
          <w:color w:val="333333"/>
          <w:sz w:val="32"/>
          <w:szCs w:val="32"/>
        </w:rPr>
        <w:t>为加强对水利行业监管工作，推进我县水利工作走向法治化轨道，今年以来，我局加大规范性文件审查力度，对《遂溪县河道采砂暂行办法实施细则》《遂溪县河道采砂暂行办法》等2部规范性文件进行了修改完善；制定印发了《遂溪县农村饮水安全工程运行管理实施细则》《遂溪县农村饮水安全管理“三个责任”制度》等，为加强我县农村饮水安全工程运行管理，保障农村饮水安全，全面提高工程管理水平，充分发挥工程效益提供了制度保障；“河湖长+检察长”协作机制正式落地生根。“</w:t>
      </w:r>
      <w:r>
        <w:rPr>
          <w:rFonts w:hint="eastAsia" w:ascii="仿宋_GB2312" w:hAnsi="仿宋_GB2312" w:eastAsia="仿宋_GB2312" w:cs="仿宋_GB2312"/>
          <w:sz w:val="32"/>
          <w:szCs w:val="32"/>
        </w:rPr>
        <w:t>河湖长+检察长”协作机制建立起协同领导机制、信息共享机制、办案协作机制、联合工作机制、日常联络机制，充分发挥河湖长、检察长责任作用，搭建起河湖管理保护行政执法和刑事司法的有效衔接平台，更好地保障全县生态文明建设。该制度实施以来，我局（县河长办）联合县人民检察院，定期开展巡河共计92人次，巡河过程中发现问题6个并已全部反馈相关单位，督促相关单位完成5个问题的整改工作，发出15份检查建议书，立案查处危害河湖生态环境案件1宗，取得了较为明显的成效。</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 </w:t>
      </w:r>
      <w:r>
        <w:rPr>
          <w:rFonts w:hint="eastAsia" w:ascii="黑体" w:hAnsi="黑体" w:eastAsia="黑体"/>
          <w:sz w:val="32"/>
          <w:szCs w:val="32"/>
        </w:rPr>
        <w:t xml:space="preserve"> 二、2020年度依法行政工作存在的不足和原因</w:t>
      </w:r>
    </w:p>
    <w:p>
      <w:pPr>
        <w:spacing w:line="560" w:lineRule="exact"/>
        <w:ind w:firstLine="643" w:firstLineChars="200"/>
        <w:rPr>
          <w:rFonts w:ascii="仿宋" w:hAnsi="仿宋" w:eastAsia="仿宋"/>
          <w:sz w:val="32"/>
          <w:szCs w:val="32"/>
        </w:rPr>
      </w:pPr>
      <w:r>
        <w:rPr>
          <w:rFonts w:hint="eastAsia" w:ascii="楷体_GB2312" w:hAnsi="仿宋" w:eastAsia="楷体_GB2312"/>
          <w:b/>
          <w:sz w:val="32"/>
          <w:szCs w:val="32"/>
        </w:rPr>
        <w:t>（一）现有制度与执法实践不相符。</w:t>
      </w:r>
      <w:r>
        <w:rPr>
          <w:rFonts w:hint="eastAsia" w:ascii="仿宋" w:hAnsi="仿宋" w:eastAsia="仿宋"/>
          <w:sz w:val="32"/>
          <w:szCs w:val="32"/>
        </w:rPr>
        <w:t>我局于2018年制定了《遂溪县水务局行政处罚自由裁量权适用规则》，但随着执法形势变化以及新的《广东省河道采砂管理条例》颁布施行，原自由裁量规则有些内容在我县水利执法实践中已出现不符合执法实际的现象。</w:t>
      </w:r>
    </w:p>
    <w:p>
      <w:pPr>
        <w:spacing w:line="560" w:lineRule="exact"/>
        <w:ind w:firstLine="643" w:firstLineChars="200"/>
        <w:rPr>
          <w:rFonts w:ascii="仿宋" w:hAnsi="仿宋" w:eastAsia="仿宋"/>
          <w:sz w:val="32"/>
          <w:szCs w:val="32"/>
        </w:rPr>
      </w:pPr>
      <w:r>
        <w:rPr>
          <w:rFonts w:hint="eastAsia" w:ascii="楷体_GB2312" w:hAnsi="仿宋" w:eastAsia="楷体_GB2312"/>
          <w:b/>
          <w:sz w:val="32"/>
          <w:szCs w:val="32"/>
        </w:rPr>
        <w:t>（二）非法采砂屡禁不止。</w:t>
      </w:r>
      <w:r>
        <w:rPr>
          <w:rFonts w:hint="eastAsia" w:ascii="仿宋" w:hAnsi="仿宋" w:eastAsia="仿宋"/>
          <w:sz w:val="32"/>
          <w:szCs w:val="32"/>
        </w:rPr>
        <w:t>我局虽经多次严厉打击非法采砂行为,取得一定的效果,但非法采砂活动仍屡禁不止,甚至非法开采还有进一步扩大的趋势。主要原因除了暴利驱动以外,还与执法职能单一有关。</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三、党政负责人推进法治工作履职情况</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2020年，我局及时调整了依法行政工作领导小组，由局党政负责人陈开林同志担任组长，各分管领导任副组长，各股室负责人任小组成员，由局依法行政工作领导小组统筹我局法治工作任务落实。</w:t>
      </w:r>
    </w:p>
    <w:p>
      <w:pPr>
        <w:overflowPunct w:val="0"/>
        <w:spacing w:line="560" w:lineRule="exact"/>
        <w:ind w:firstLine="640" w:firstLineChars="200"/>
        <w:rPr>
          <w:rFonts w:ascii="仿宋_GB2312" w:hAnsi="方正仿宋_GBK" w:cs="方正仿宋_GBK"/>
          <w:kern w:val="32"/>
          <w:szCs w:val="32"/>
        </w:rPr>
      </w:pPr>
      <w:r>
        <w:rPr>
          <w:rFonts w:hint="eastAsia" w:ascii="仿宋" w:hAnsi="仿宋" w:eastAsia="仿宋"/>
          <w:sz w:val="32"/>
          <w:szCs w:val="32"/>
        </w:rPr>
        <w:t>我局主要领导陈开林同志认真履职，深入学习习近平总书记依法治国新理念，准确把握理念精神，抓好贯彻落实，不断推进法治工作理念、方法创新。</w:t>
      </w:r>
      <w:r>
        <w:rPr>
          <w:rFonts w:hint="eastAsia" w:ascii="仿宋" w:hAnsi="仿宋" w:eastAsia="仿宋"/>
          <w:b/>
          <w:sz w:val="32"/>
          <w:szCs w:val="32"/>
        </w:rPr>
        <w:t>一是</w:t>
      </w:r>
      <w:r>
        <w:rPr>
          <w:rFonts w:hint="eastAsia" w:ascii="仿宋" w:hAnsi="仿宋" w:eastAsia="仿宋"/>
          <w:sz w:val="32"/>
          <w:szCs w:val="32"/>
        </w:rPr>
        <w:t>研究制定《遂溪县水务局党组会议议事规则》《遂溪县水务局局务会议议事规则》，严格区分党组会议和局务会议，明确党组会议、局务会议议事范畴，精准定位，充分发挥党组核心领导作用。</w:t>
      </w:r>
      <w:r>
        <w:rPr>
          <w:rFonts w:hint="eastAsia" w:ascii="仿宋" w:hAnsi="仿宋" w:eastAsia="仿宋"/>
          <w:b/>
          <w:sz w:val="32"/>
          <w:szCs w:val="32"/>
        </w:rPr>
        <w:t>二是</w:t>
      </w:r>
      <w:r>
        <w:rPr>
          <w:rFonts w:hint="eastAsia" w:ascii="仿宋" w:hAnsi="仿宋" w:eastAsia="仿宋"/>
          <w:sz w:val="32"/>
          <w:szCs w:val="32"/>
        </w:rPr>
        <w:t>严格执行“三重一大”民主决策制度，进一步完善议事规则和程序，凡涉及“三重一大”事项，坚持会前征求班子意见、会上集体讨论、党政正职末位表态。</w:t>
      </w:r>
      <w:r>
        <w:rPr>
          <w:rFonts w:hint="eastAsia" w:ascii="仿宋" w:hAnsi="仿宋" w:eastAsia="仿宋"/>
          <w:b/>
          <w:sz w:val="32"/>
          <w:szCs w:val="32"/>
        </w:rPr>
        <w:t>三是</w:t>
      </w:r>
      <w:r>
        <w:rPr>
          <w:rFonts w:hint="eastAsia" w:ascii="仿宋" w:hAnsi="仿宋" w:eastAsia="仿宋"/>
          <w:sz w:val="32"/>
          <w:szCs w:val="32"/>
        </w:rPr>
        <w:t>研究制定《遂溪县水务局廉政风险防控清单》，对22个关键环节的65个廉政风险点进行了研判，并逐一制定了防控措施，确保政府权力在阳光下运行，廉政风险防控全覆盖、无死角。</w:t>
      </w:r>
    </w:p>
    <w:p>
      <w:pPr>
        <w:spacing w:line="560" w:lineRule="exact"/>
        <w:ind w:firstLine="640" w:firstLineChars="200"/>
        <w:rPr>
          <w:rFonts w:ascii="仿宋" w:hAnsi="仿宋" w:eastAsia="仿宋"/>
          <w:sz w:val="32"/>
          <w:szCs w:val="32"/>
        </w:rPr>
      </w:pPr>
      <w:r>
        <w:rPr>
          <w:rFonts w:hint="eastAsia" w:ascii="黑体" w:hAnsi="黑体" w:eastAsia="黑体"/>
          <w:sz w:val="32"/>
          <w:szCs w:val="32"/>
        </w:rPr>
        <w:t>四、下一年度依法行政工作安排</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一）我局将根据市水务局有关自由裁量的修订标准适时修订《遂溪县水务局行政处罚自由裁量权适用规则》,规范后将依法向社会公布施行,并上报县司法局备案。为进一步规范行政执法行为,做到执法规范有据,促进行政执法权公开透明运行,保障公民、法人和其他组织的合法权益。</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二）强化联合执法。我局要进一步严格依照《中华人民共和国行政处罚法》、《中华人民共和国行政强制法》及《水行政处罚实施办法》等法律法规,加强水政大队执法业务培训,进一步规范执法及办案程序,提高依法行政的水平。主动加强与公安、检察、国土等部门的协作,进一步完善联合执法,形成打击非法水事行为的执法合力。</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                         </w:t>
      </w:r>
    </w:p>
    <w:p>
      <w:pPr>
        <w:spacing w:line="560" w:lineRule="exact"/>
        <w:ind w:firstLine="640" w:firstLineChars="200"/>
        <w:rPr>
          <w:rFonts w:ascii="仿宋" w:hAnsi="仿宋" w:eastAsia="仿宋"/>
          <w:sz w:val="32"/>
          <w:szCs w:val="32"/>
        </w:rPr>
      </w:pPr>
    </w:p>
    <w:p>
      <w:pPr>
        <w:spacing w:line="560" w:lineRule="exact"/>
        <w:ind w:firstLine="4640" w:firstLineChars="1450"/>
        <w:rPr>
          <w:rFonts w:ascii="仿宋" w:hAnsi="仿宋" w:eastAsia="仿宋"/>
          <w:sz w:val="32"/>
          <w:szCs w:val="32"/>
        </w:rPr>
      </w:pPr>
      <w:r>
        <w:rPr>
          <w:rFonts w:hint="eastAsia" w:ascii="仿宋" w:hAnsi="仿宋" w:eastAsia="仿宋"/>
          <w:sz w:val="32"/>
          <w:szCs w:val="32"/>
        </w:rPr>
        <w:t xml:space="preserve"> 遂溪县水务局</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 xml:space="preserve">                         2020年12月28日</w:t>
      </w:r>
    </w:p>
    <w:sectPr>
      <w:footerReference r:id="rId3" w:type="default"/>
      <w:pgSz w:w="11906" w:h="16838"/>
      <w:pgMar w:top="1797" w:right="1440"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方正仿宋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0232774"/>
      <w:docPartObj>
        <w:docPartGallery w:val="autotext"/>
      </w:docPartObj>
    </w:sdtPr>
    <w:sdtContent>
      <w:p>
        <w:pPr>
          <w:pStyle w:val="3"/>
          <w:jc w:val="center"/>
        </w:pPr>
        <w:r>
          <w:fldChar w:fldCharType="begin"/>
        </w:r>
        <w:r>
          <w:instrText xml:space="preserve">PAGE   \* MERGEFORMAT</w:instrText>
        </w:r>
        <w:r>
          <w:fldChar w:fldCharType="separate"/>
        </w:r>
        <w:r>
          <w:rPr>
            <w:lang w:val="zh-CN"/>
          </w:rPr>
          <w:t>6</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QyMWVjMmE4ZWJlN2RiYWQxMmY3NjVkYjRiYjUwYWYifQ=="/>
  </w:docVars>
  <w:rsids>
    <w:rsidRoot w:val="00DE17A1"/>
    <w:rsid w:val="00006640"/>
    <w:rsid w:val="000140AE"/>
    <w:rsid w:val="000343B6"/>
    <w:rsid w:val="00071DD6"/>
    <w:rsid w:val="0008351A"/>
    <w:rsid w:val="00091CE9"/>
    <w:rsid w:val="00097873"/>
    <w:rsid w:val="000A7070"/>
    <w:rsid w:val="000B147C"/>
    <w:rsid w:val="000F7628"/>
    <w:rsid w:val="000F7DDC"/>
    <w:rsid w:val="00102458"/>
    <w:rsid w:val="00114822"/>
    <w:rsid w:val="00115C2A"/>
    <w:rsid w:val="00115D1A"/>
    <w:rsid w:val="00175848"/>
    <w:rsid w:val="00176A46"/>
    <w:rsid w:val="00180550"/>
    <w:rsid w:val="00181360"/>
    <w:rsid w:val="00183D99"/>
    <w:rsid w:val="0018484A"/>
    <w:rsid w:val="001D2083"/>
    <w:rsid w:val="001E0214"/>
    <w:rsid w:val="001F70DF"/>
    <w:rsid w:val="00217B75"/>
    <w:rsid w:val="0022280B"/>
    <w:rsid w:val="00226187"/>
    <w:rsid w:val="002E0D5D"/>
    <w:rsid w:val="002E6AC7"/>
    <w:rsid w:val="003114C3"/>
    <w:rsid w:val="00317A1A"/>
    <w:rsid w:val="0032332D"/>
    <w:rsid w:val="00355235"/>
    <w:rsid w:val="00360B11"/>
    <w:rsid w:val="00381CCA"/>
    <w:rsid w:val="00384833"/>
    <w:rsid w:val="003946F3"/>
    <w:rsid w:val="003A4456"/>
    <w:rsid w:val="003D20DD"/>
    <w:rsid w:val="003E0F21"/>
    <w:rsid w:val="003F33E1"/>
    <w:rsid w:val="00401353"/>
    <w:rsid w:val="004345DC"/>
    <w:rsid w:val="004E1A33"/>
    <w:rsid w:val="00500E91"/>
    <w:rsid w:val="00510AD1"/>
    <w:rsid w:val="00511AB2"/>
    <w:rsid w:val="00542F1B"/>
    <w:rsid w:val="005638A9"/>
    <w:rsid w:val="00564A7E"/>
    <w:rsid w:val="00597699"/>
    <w:rsid w:val="005B03EC"/>
    <w:rsid w:val="005C58F4"/>
    <w:rsid w:val="005C6C0D"/>
    <w:rsid w:val="005E3047"/>
    <w:rsid w:val="005E5D96"/>
    <w:rsid w:val="005F5B27"/>
    <w:rsid w:val="006463B0"/>
    <w:rsid w:val="00662FF1"/>
    <w:rsid w:val="00693DBC"/>
    <w:rsid w:val="006A089A"/>
    <w:rsid w:val="006C3BF7"/>
    <w:rsid w:val="00706AE5"/>
    <w:rsid w:val="007259B4"/>
    <w:rsid w:val="00726FB2"/>
    <w:rsid w:val="007273A1"/>
    <w:rsid w:val="00754187"/>
    <w:rsid w:val="007B108C"/>
    <w:rsid w:val="007D02FC"/>
    <w:rsid w:val="007D6E0E"/>
    <w:rsid w:val="00803FC0"/>
    <w:rsid w:val="008069FB"/>
    <w:rsid w:val="00822D5E"/>
    <w:rsid w:val="008738A7"/>
    <w:rsid w:val="008958CC"/>
    <w:rsid w:val="00896637"/>
    <w:rsid w:val="008A75B8"/>
    <w:rsid w:val="008D48AC"/>
    <w:rsid w:val="008F48B5"/>
    <w:rsid w:val="008F689C"/>
    <w:rsid w:val="00910A68"/>
    <w:rsid w:val="009151A4"/>
    <w:rsid w:val="009475F7"/>
    <w:rsid w:val="009503FD"/>
    <w:rsid w:val="00951F95"/>
    <w:rsid w:val="00965573"/>
    <w:rsid w:val="0098094A"/>
    <w:rsid w:val="00997266"/>
    <w:rsid w:val="009B370B"/>
    <w:rsid w:val="009D4A73"/>
    <w:rsid w:val="009F485B"/>
    <w:rsid w:val="00A10396"/>
    <w:rsid w:val="00A231D3"/>
    <w:rsid w:val="00A5290A"/>
    <w:rsid w:val="00A6259F"/>
    <w:rsid w:val="00A7631D"/>
    <w:rsid w:val="00A82C5A"/>
    <w:rsid w:val="00AC5F7C"/>
    <w:rsid w:val="00AE5DFB"/>
    <w:rsid w:val="00AF1492"/>
    <w:rsid w:val="00B73656"/>
    <w:rsid w:val="00B942AC"/>
    <w:rsid w:val="00BA2AAB"/>
    <w:rsid w:val="00BA7C8C"/>
    <w:rsid w:val="00BC24AA"/>
    <w:rsid w:val="00BE2B99"/>
    <w:rsid w:val="00C24712"/>
    <w:rsid w:val="00C43D8F"/>
    <w:rsid w:val="00C514EE"/>
    <w:rsid w:val="00C57F2A"/>
    <w:rsid w:val="00C61D48"/>
    <w:rsid w:val="00C7294F"/>
    <w:rsid w:val="00C775EA"/>
    <w:rsid w:val="00C852C1"/>
    <w:rsid w:val="00C9322B"/>
    <w:rsid w:val="00CB678D"/>
    <w:rsid w:val="00CD40BE"/>
    <w:rsid w:val="00CF2EA7"/>
    <w:rsid w:val="00D00396"/>
    <w:rsid w:val="00D4456D"/>
    <w:rsid w:val="00D50338"/>
    <w:rsid w:val="00D56432"/>
    <w:rsid w:val="00D56CD8"/>
    <w:rsid w:val="00D756CE"/>
    <w:rsid w:val="00D87539"/>
    <w:rsid w:val="00D92FFF"/>
    <w:rsid w:val="00D97B38"/>
    <w:rsid w:val="00DB2434"/>
    <w:rsid w:val="00DC6FC9"/>
    <w:rsid w:val="00DD36F7"/>
    <w:rsid w:val="00DE17A1"/>
    <w:rsid w:val="00DF670F"/>
    <w:rsid w:val="00DF6AC8"/>
    <w:rsid w:val="00E05B84"/>
    <w:rsid w:val="00E25D77"/>
    <w:rsid w:val="00E7579D"/>
    <w:rsid w:val="00E80157"/>
    <w:rsid w:val="00E87F56"/>
    <w:rsid w:val="00EA0D22"/>
    <w:rsid w:val="00EA0F59"/>
    <w:rsid w:val="00EA3FC5"/>
    <w:rsid w:val="00F12B26"/>
    <w:rsid w:val="00F4148D"/>
    <w:rsid w:val="00F42543"/>
    <w:rsid w:val="00F576D6"/>
    <w:rsid w:val="00F620A7"/>
    <w:rsid w:val="00F621FD"/>
    <w:rsid w:val="00F9403D"/>
    <w:rsid w:val="00FF57E2"/>
    <w:rsid w:val="1C756040"/>
    <w:rsid w:val="6B4F1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53B88-D7FC-4E61-B88B-DCD4620B84F4}">
  <ds:schemaRefs/>
</ds:datastoreItem>
</file>

<file path=docProps/app.xml><?xml version="1.0" encoding="utf-8"?>
<Properties xmlns="http://schemas.openxmlformats.org/officeDocument/2006/extended-properties" xmlns:vt="http://schemas.openxmlformats.org/officeDocument/2006/docPropsVTypes">
  <Template>Normal</Template>
  <Pages>6</Pages>
  <Words>3100</Words>
  <Characters>3175</Characters>
  <Lines>23</Lines>
  <Paragraphs>6</Paragraphs>
  <TotalTime>626</TotalTime>
  <ScaleCrop>false</ScaleCrop>
  <LinksUpToDate>false</LinksUpToDate>
  <CharactersWithSpaces>3233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2019-11-04T07:32:00Z</dcterms:created>
  <dc:creator>蔡鹏</dc:creator>
  <cp:lastModifiedBy>WPS_1662343236</cp:lastModifiedBy>
  <dcterms:modified xsi:type="dcterms:W3CDTF">2022-09-30T08:34:42Z</dcterms:modified>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C232E2375024440C9E60CFA35746FF10</vt:lpwstr>
  </property>
</Properties>
</file>