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default" w:ascii="Times New Roman" w:hAnsi="Times New Roman" w:cs="Times New Roman"/>
          <w:b/>
          <w:sz w:val="26"/>
          <w:szCs w:val="32"/>
        </w:rPr>
      </w:pPr>
      <w:r>
        <w:rPr>
          <w:rFonts w:hint="default" w:ascii="Times New Roman" w:hAnsi="Times New Roman" w:cs="Times New Roman"/>
          <w:b/>
          <w:sz w:val="26"/>
          <w:szCs w:val="32"/>
        </w:rPr>
        <w:t>县第十</w:t>
      </w:r>
      <w:r>
        <w:rPr>
          <w:rFonts w:hint="default" w:ascii="Times New Roman" w:hAnsi="Times New Roman" w:cs="Times New Roman"/>
          <w:b/>
          <w:sz w:val="26"/>
          <w:szCs w:val="32"/>
          <w:lang w:val="en-US" w:eastAsia="zh-CN"/>
        </w:rPr>
        <w:t>七</w:t>
      </w:r>
      <w:r>
        <w:rPr>
          <w:rFonts w:hint="default" w:ascii="Times New Roman" w:hAnsi="Times New Roman" w:cs="Times New Roman"/>
          <w:b/>
          <w:sz w:val="26"/>
          <w:szCs w:val="32"/>
        </w:rPr>
        <w:t>届人大第</w:t>
      </w:r>
      <w:r>
        <w:rPr>
          <w:rFonts w:hint="default" w:ascii="Times New Roman" w:hAnsi="Times New Roman" w:cs="Times New Roman"/>
          <w:b/>
          <w:sz w:val="26"/>
          <w:szCs w:val="32"/>
          <w:lang w:val="en-US" w:eastAsia="zh-CN"/>
        </w:rPr>
        <w:t>二</w:t>
      </w:r>
      <w:r>
        <w:rPr>
          <w:rFonts w:hint="default" w:ascii="Times New Roman" w:hAnsi="Times New Roman" w:cs="Times New Roman"/>
          <w:b/>
          <w:sz w:val="26"/>
          <w:szCs w:val="32"/>
        </w:rPr>
        <w:t>次会议文件</w:t>
      </w:r>
    </w:p>
    <w:p>
      <w:pPr>
        <w:pStyle w:val="8"/>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before="625" w:beforeLines="200" w:after="313" w:afterLines="100" w:line="140" w:lineRule="exact"/>
        <w:ind w:left="0" w:leftChars="0" w:right="0" w:rightChars="0" w:firstLine="0" w:firstLineChars="0"/>
        <w:jc w:val="center"/>
        <w:textAlignment w:val="auto"/>
        <w:outlineLvl w:val="9"/>
        <w:rPr>
          <w:rFonts w:hint="default" w:ascii="Times New Roman" w:hAnsi="Times New Roman" w:eastAsia="方正小标宋简体" w:cs="Times New Roman"/>
          <w:b/>
          <w:bCs w:val="0"/>
          <w:sz w:val="48"/>
          <w:szCs w:val="48"/>
          <w:lang w:eastAsia="zh-CN"/>
        </w:rPr>
      </w:pPr>
      <w:r>
        <w:rPr>
          <w:rFonts w:hint="default" w:ascii="Times New Roman" w:hAnsi="Times New Roman" w:eastAsia="方正小标宋简体" w:cs="Times New Roman"/>
          <w:b/>
          <w:bCs w:val="0"/>
          <w:sz w:val="48"/>
          <w:szCs w:val="48"/>
          <w:lang w:eastAsia="zh-CN"/>
        </w:rPr>
        <w:t>遂溪县20</w:t>
      </w:r>
      <w:r>
        <w:rPr>
          <w:rFonts w:hint="default" w:ascii="Times New Roman" w:hAnsi="Times New Roman" w:eastAsia="方正小标宋简体" w:cs="Times New Roman"/>
          <w:b/>
          <w:bCs w:val="0"/>
          <w:sz w:val="48"/>
          <w:szCs w:val="48"/>
          <w:lang w:val="en-US" w:eastAsia="zh-CN"/>
        </w:rPr>
        <w:t>21</w:t>
      </w:r>
      <w:r>
        <w:rPr>
          <w:rFonts w:hint="default" w:ascii="Times New Roman" w:hAnsi="Times New Roman" w:eastAsia="方正小标宋简体" w:cs="Times New Roman"/>
          <w:b/>
          <w:bCs w:val="0"/>
          <w:sz w:val="48"/>
          <w:szCs w:val="48"/>
          <w:lang w:eastAsia="zh-CN"/>
        </w:rPr>
        <w:t>年国民经济和社会发展计划</w:t>
      </w:r>
    </w:p>
    <w:p>
      <w:pPr>
        <w:pStyle w:val="5"/>
        <w:jc w:val="center"/>
        <w:rPr>
          <w:rFonts w:hint="default" w:ascii="Times New Roman" w:hAnsi="Times New Roman" w:cs="Times New Roman"/>
          <w:lang w:eastAsia="zh-CN"/>
        </w:rPr>
      </w:pPr>
      <w:r>
        <w:rPr>
          <w:rFonts w:hint="default" w:ascii="Times New Roman" w:hAnsi="Times New Roman" w:eastAsia="方正小标宋简体" w:cs="Times New Roman"/>
          <w:b/>
          <w:bCs w:val="0"/>
          <w:sz w:val="48"/>
          <w:szCs w:val="48"/>
          <w:lang w:eastAsia="zh-CN"/>
        </w:rPr>
        <w:t>执行情况与20</w:t>
      </w:r>
      <w:r>
        <w:rPr>
          <w:rFonts w:hint="default" w:ascii="Times New Roman" w:hAnsi="Times New Roman" w:eastAsia="方正小标宋简体" w:cs="Times New Roman"/>
          <w:b/>
          <w:bCs w:val="0"/>
          <w:sz w:val="48"/>
          <w:szCs w:val="48"/>
          <w:lang w:val="en-US" w:eastAsia="zh-CN"/>
        </w:rPr>
        <w:t>22</w:t>
      </w:r>
      <w:r>
        <w:rPr>
          <w:rFonts w:hint="default" w:ascii="Times New Roman" w:hAnsi="Times New Roman" w:eastAsia="方正小标宋简体" w:cs="Times New Roman"/>
          <w:b/>
          <w:bCs w:val="0"/>
          <w:sz w:val="48"/>
          <w:szCs w:val="48"/>
          <w:lang w:eastAsia="zh-CN"/>
        </w:rPr>
        <w:t>年计划草案的报告</w:t>
      </w:r>
    </w:p>
    <w:p>
      <w:pPr>
        <w:keepNext w:val="0"/>
        <w:keepLines w:val="0"/>
        <w:pageBreakBefore w:val="0"/>
        <w:kinsoku/>
        <w:wordWrap/>
        <w:overflowPunct/>
        <w:topLinePunct w:val="0"/>
        <w:autoSpaceDE/>
        <w:bidi w:val="0"/>
        <w:adjustRightInd/>
        <w:snapToGrid/>
        <w:spacing w:line="560" w:lineRule="exact"/>
        <w:ind w:right="0" w:rightChars="0"/>
        <w:jc w:val="center"/>
        <w:textAlignment w:val="auto"/>
        <w:outlineLvl w:val="9"/>
        <w:rPr>
          <w:rFonts w:hint="default" w:ascii="Times New Roman" w:hAnsi="Times New Roman" w:eastAsia="楷体" w:cs="Times New Roman"/>
          <w:sz w:val="32"/>
          <w:szCs w:val="32"/>
        </w:rPr>
      </w:pPr>
      <w:r>
        <w:rPr>
          <w:rFonts w:hint="default" w:ascii="Times New Roman" w:hAnsi="Times New Roman" w:eastAsia="楷体" w:cs="Times New Roman"/>
          <w:sz w:val="32"/>
          <w:szCs w:val="32"/>
        </w:rPr>
        <w:t>——20</w:t>
      </w:r>
      <w:r>
        <w:rPr>
          <w:rFonts w:hint="default" w:ascii="Times New Roman" w:hAnsi="Times New Roman" w:eastAsia="楷体" w:cs="Times New Roman"/>
          <w:sz w:val="32"/>
          <w:szCs w:val="32"/>
          <w:lang w:val="en-US" w:eastAsia="zh-CN"/>
        </w:rPr>
        <w:t>22</w:t>
      </w:r>
      <w:r>
        <w:rPr>
          <w:rFonts w:hint="default" w:ascii="Times New Roman" w:hAnsi="Times New Roman" w:eastAsia="楷体" w:cs="Times New Roman"/>
          <w:sz w:val="32"/>
          <w:szCs w:val="32"/>
        </w:rPr>
        <w:t>年</w:t>
      </w:r>
      <w:r>
        <w:rPr>
          <w:rFonts w:hint="default" w:ascii="Times New Roman" w:hAnsi="Times New Roman" w:eastAsia="楷体" w:cs="Times New Roman"/>
          <w:sz w:val="32"/>
          <w:szCs w:val="32"/>
          <w:lang w:val="en-US" w:eastAsia="zh-CN"/>
        </w:rPr>
        <w:t>3</w:t>
      </w:r>
      <w:r>
        <w:rPr>
          <w:rFonts w:hint="default" w:ascii="Times New Roman" w:hAnsi="Times New Roman" w:eastAsia="楷体" w:cs="Times New Roman"/>
          <w:sz w:val="32"/>
          <w:szCs w:val="32"/>
        </w:rPr>
        <w:t>月</w:t>
      </w:r>
      <w:r>
        <w:rPr>
          <w:rFonts w:hint="default" w:ascii="Times New Roman" w:hAnsi="Times New Roman" w:eastAsia="楷体" w:cs="Times New Roman"/>
          <w:sz w:val="32"/>
          <w:szCs w:val="32"/>
          <w:lang w:val="en-US" w:eastAsia="zh-CN"/>
        </w:rPr>
        <w:t>30</w:t>
      </w:r>
      <w:r>
        <w:rPr>
          <w:rFonts w:hint="default" w:ascii="Times New Roman" w:hAnsi="Times New Roman" w:eastAsia="楷体" w:cs="Times New Roman"/>
          <w:sz w:val="32"/>
          <w:szCs w:val="32"/>
        </w:rPr>
        <w:t>日在遂溪县第十</w:t>
      </w:r>
      <w:r>
        <w:rPr>
          <w:rFonts w:hint="default" w:ascii="Times New Roman" w:hAnsi="Times New Roman" w:eastAsia="楷体" w:cs="Times New Roman"/>
          <w:sz w:val="32"/>
          <w:szCs w:val="32"/>
          <w:lang w:val="en-US" w:eastAsia="zh-CN"/>
        </w:rPr>
        <w:t>七</w:t>
      </w:r>
      <w:r>
        <w:rPr>
          <w:rFonts w:hint="default" w:ascii="Times New Roman" w:hAnsi="Times New Roman" w:eastAsia="楷体" w:cs="Times New Roman"/>
          <w:sz w:val="32"/>
          <w:szCs w:val="32"/>
        </w:rPr>
        <w:t>届</w:t>
      </w:r>
    </w:p>
    <w:p>
      <w:pPr>
        <w:keepNext w:val="0"/>
        <w:keepLines w:val="0"/>
        <w:pageBreakBefore w:val="0"/>
        <w:kinsoku/>
        <w:wordWrap/>
        <w:overflowPunct/>
        <w:topLinePunct w:val="0"/>
        <w:autoSpaceDE/>
        <w:bidi w:val="0"/>
        <w:adjustRightInd/>
        <w:snapToGrid/>
        <w:spacing w:line="560" w:lineRule="exact"/>
        <w:ind w:right="0" w:rightChars="0"/>
        <w:jc w:val="center"/>
        <w:textAlignment w:val="auto"/>
        <w:outlineLvl w:val="9"/>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人民代表大会第</w:t>
      </w:r>
      <w:r>
        <w:rPr>
          <w:rFonts w:hint="default" w:ascii="Times New Roman" w:hAnsi="Times New Roman" w:eastAsia="楷体" w:cs="Times New Roman"/>
          <w:sz w:val="32"/>
          <w:szCs w:val="32"/>
          <w:lang w:val="en-US" w:eastAsia="zh-CN"/>
        </w:rPr>
        <w:t>二</w:t>
      </w:r>
      <w:r>
        <w:rPr>
          <w:rFonts w:hint="default" w:ascii="Times New Roman" w:hAnsi="Times New Roman" w:eastAsia="楷体" w:cs="Times New Roman"/>
          <w:sz w:val="32"/>
          <w:szCs w:val="32"/>
        </w:rPr>
        <w:t>次会议上</w:t>
      </w:r>
    </w:p>
    <w:p>
      <w:pPr>
        <w:keepNext w:val="0"/>
        <w:keepLines w:val="0"/>
        <w:pageBreakBefore w:val="0"/>
        <w:kinsoku/>
        <w:wordWrap/>
        <w:overflowPunct/>
        <w:topLinePunct w:val="0"/>
        <w:autoSpaceDE/>
        <w:bidi w:val="0"/>
        <w:adjustRightInd/>
        <w:snapToGrid/>
        <w:spacing w:line="560" w:lineRule="exact"/>
        <w:ind w:right="0" w:rightChars="0"/>
        <w:jc w:val="center"/>
        <w:textAlignment w:val="auto"/>
        <w:outlineLvl w:val="9"/>
        <w:rPr>
          <w:rFonts w:hint="default" w:ascii="Times New Roman" w:hAnsi="Times New Roman" w:eastAsia="楷体" w:cs="Times New Roman"/>
          <w:szCs w:val="21"/>
        </w:rPr>
      </w:pPr>
    </w:p>
    <w:p>
      <w:pPr>
        <w:keepNext w:val="0"/>
        <w:keepLines w:val="0"/>
        <w:pageBreakBefore w:val="0"/>
        <w:kinsoku/>
        <w:wordWrap/>
        <w:overflowPunct/>
        <w:topLinePunct w:val="0"/>
        <w:autoSpaceDE/>
        <w:bidi w:val="0"/>
        <w:adjustRightInd/>
        <w:snapToGrid/>
        <w:spacing w:line="560" w:lineRule="exact"/>
        <w:ind w:right="0" w:rightChars="0"/>
        <w:jc w:val="center"/>
        <w:textAlignment w:val="auto"/>
        <w:outlineLvl w:val="9"/>
        <w:rPr>
          <w:rFonts w:hint="default" w:ascii="Times New Roman" w:hAnsi="Times New Roman" w:eastAsia="楷体" w:cs="Times New Roman"/>
          <w:sz w:val="32"/>
          <w:szCs w:val="32"/>
        </w:rPr>
      </w:pPr>
      <w:r>
        <w:rPr>
          <w:rFonts w:hint="default" w:ascii="Times New Roman" w:hAnsi="Times New Roman" w:eastAsia="楷体" w:cs="Times New Roman"/>
          <w:sz w:val="32"/>
          <w:szCs w:val="32"/>
        </w:rPr>
        <w:t xml:space="preserve">遂溪县发展和改革局局长   </w:t>
      </w:r>
      <w:r>
        <w:rPr>
          <w:rFonts w:hint="default" w:ascii="Times New Roman" w:hAnsi="Times New Roman" w:eastAsia="楷体" w:cs="Times New Roman"/>
          <w:sz w:val="32"/>
          <w:szCs w:val="32"/>
          <w:lang w:val="en-US" w:eastAsia="zh-CN"/>
        </w:rPr>
        <w:t>邹良</w:t>
      </w:r>
      <w:r>
        <w:rPr>
          <w:rFonts w:hint="default" w:ascii="Times New Roman" w:hAnsi="Times New Roman" w:eastAsia="楷体" w:cs="Times New Roman"/>
          <w:sz w:val="32"/>
          <w:szCs w:val="32"/>
        </w:rPr>
        <w:t xml:space="preserve"> </w:t>
      </w:r>
    </w:p>
    <w:p>
      <w:pPr>
        <w:keepNext w:val="0"/>
        <w:keepLines w:val="0"/>
        <w:pageBreakBefore w:val="0"/>
        <w:kinsoku/>
        <w:wordWrap/>
        <w:overflowPunct/>
        <w:topLinePunct w:val="0"/>
        <w:autoSpaceDE/>
        <w:bidi w:val="0"/>
        <w:adjustRightInd/>
        <w:snapToGrid/>
        <w:spacing w:line="550" w:lineRule="exact"/>
        <w:ind w:right="0" w:rightChars="0"/>
        <w:textAlignment w:val="auto"/>
        <w:outlineLvl w:val="9"/>
        <w:rPr>
          <w:rFonts w:hint="default" w:ascii="Times New Roman" w:hAnsi="Times New Roman" w:eastAsia="楷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各位代表：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我受县人民政府委托，现向大会报告我县20</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年国民经济和社会发展计划执行情况与202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年计划草案，请予审议。</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cs="Times New Roman"/>
        </w:rPr>
      </w:pPr>
      <w:r>
        <w:rPr>
          <w:rFonts w:hint="default" w:ascii="Times New Roman" w:hAnsi="Times New Roman" w:eastAsia="黑体" w:cs="Times New Roman"/>
          <w:sz w:val="32"/>
          <w:szCs w:val="32"/>
        </w:rPr>
        <w:t>一、20</w:t>
      </w:r>
      <w:r>
        <w:rPr>
          <w:rFonts w:hint="default" w:ascii="Times New Roman" w:hAnsi="Times New Roman" w:eastAsia="黑体" w:cs="Times New Roman"/>
          <w:sz w:val="32"/>
          <w:szCs w:val="32"/>
          <w:lang w:val="en-US" w:eastAsia="zh-CN"/>
        </w:rPr>
        <w:t>21</w:t>
      </w:r>
      <w:r>
        <w:rPr>
          <w:rFonts w:hint="default" w:ascii="Times New Roman" w:hAnsi="Times New Roman" w:eastAsia="黑体" w:cs="Times New Roman"/>
          <w:sz w:val="32"/>
          <w:szCs w:val="32"/>
        </w:rPr>
        <w:t>年国民经济和社会发展计划执行情况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highlight w:val="none"/>
          <w:lang w:val="en-US" w:eastAsia="zh-CN"/>
        </w:rPr>
        <w:t>2021年，在县委的坚强领导下，在县人大及其常委会、县政协的监督支持下，全县坚持以习近平新时代中国特色社会主义思想为指导，深入学习贯彻习近平总书记在庆祝中国共产党成立100周年大会上的重要讲话精神及对广东重要讲话和重要指示批示精神，认真贯彻党的十九大及十九届历次全会、中央经济工作会议精神，认真贯彻落实党中央国务院、省委省政府和市委市政府的决策部署，坚持稳中求进工作总基调，坚持高质量发展要求，统筹推进疫情防控和经济社会发展，扎实做好“六稳”工作，全面落实“六保”任务，有力实施县委“1+3+6”行动计划，</w:t>
      </w:r>
      <w:r>
        <w:rPr>
          <w:rFonts w:hint="default" w:ascii="Times New Roman" w:hAnsi="Times New Roman" w:eastAsia="仿宋_GB2312" w:cs="Times New Roman"/>
          <w:sz w:val="32"/>
          <w:szCs w:val="32"/>
        </w:rPr>
        <w:t>全县主要经济指标运行保持在合理区间，经济发展呈现稳中向好态势，社会</w:t>
      </w:r>
      <w:r>
        <w:rPr>
          <w:rFonts w:hint="default" w:ascii="Times New Roman" w:hAnsi="Times New Roman" w:eastAsia="仿宋_GB2312" w:cs="Times New Roman"/>
          <w:sz w:val="32"/>
          <w:szCs w:val="32"/>
          <w:lang w:eastAsia="zh-CN"/>
        </w:rPr>
        <w:t>大局</w:t>
      </w:r>
      <w:r>
        <w:rPr>
          <w:rFonts w:hint="default" w:ascii="Times New Roman" w:hAnsi="Times New Roman" w:eastAsia="仿宋_GB2312" w:cs="Times New Roman"/>
          <w:sz w:val="32"/>
          <w:szCs w:val="32"/>
          <w:lang w:val="en-US" w:eastAsia="zh-CN"/>
        </w:rPr>
        <w:t>保持</w:t>
      </w:r>
      <w:r>
        <w:rPr>
          <w:rFonts w:hint="default" w:ascii="Times New Roman" w:hAnsi="Times New Roman" w:eastAsia="仿宋_GB2312" w:cs="Times New Roman"/>
          <w:sz w:val="32"/>
          <w:szCs w:val="32"/>
          <w:lang w:eastAsia="zh-CN"/>
        </w:rPr>
        <w:t>和谐稳定，</w:t>
      </w:r>
      <w:r>
        <w:rPr>
          <w:rFonts w:hint="default" w:ascii="Times New Roman" w:hAnsi="Times New Roman" w:eastAsia="仿宋_GB2312" w:cs="Times New Roman"/>
          <w:sz w:val="32"/>
          <w:szCs w:val="32"/>
        </w:rPr>
        <w:t>奋力实现“十四五”良好开局。</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总体经济稳中向好，综合实力稳步提升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全县</w:t>
      </w:r>
      <w:r>
        <w:rPr>
          <w:rFonts w:hint="default" w:ascii="Times New Roman" w:hAnsi="Times New Roman" w:eastAsia="仿宋_GB2312" w:cs="Times New Roman"/>
          <w:sz w:val="32"/>
          <w:szCs w:val="32"/>
          <w:lang w:val="en-US" w:eastAsia="zh-CN"/>
        </w:rPr>
        <w:t>实现</w:t>
      </w:r>
      <w:r>
        <w:rPr>
          <w:rFonts w:hint="default" w:ascii="Times New Roman" w:hAnsi="Times New Roman" w:eastAsia="仿宋_GB2312" w:cs="Times New Roman"/>
          <w:sz w:val="32"/>
          <w:szCs w:val="32"/>
          <w:lang w:eastAsia="zh-CN"/>
        </w:rPr>
        <w:t>地区生产总值415.</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亿元，增长8.8%，高于全国、全省增速、位居全市第二。</w:t>
      </w:r>
      <w:r>
        <w:rPr>
          <w:rFonts w:hint="default" w:ascii="Times New Roman" w:hAnsi="Times New Roman" w:eastAsia="仿宋_GB2312" w:cs="Times New Roman"/>
          <w:sz w:val="32"/>
          <w:szCs w:val="32"/>
          <w:lang w:val="en-US" w:eastAsia="zh-CN"/>
        </w:rPr>
        <w:t>三次产业结构优化调整为34.1:21.9:44，第二产业比重首次突破20%。</w:t>
      </w:r>
      <w:r>
        <w:rPr>
          <w:rFonts w:hint="default" w:ascii="Times New Roman" w:hAnsi="Times New Roman" w:eastAsia="仿宋_GB2312" w:cs="Times New Roman"/>
          <w:sz w:val="32"/>
          <w:szCs w:val="32"/>
        </w:rPr>
        <w:t>规模以上工业增加值28.8亿元，增长10.5%</w:t>
      </w:r>
      <w:r>
        <w:rPr>
          <w:rFonts w:hint="default" w:ascii="Times New Roman" w:hAnsi="Times New Roman" w:eastAsia="仿宋_GB2312" w:cs="Times New Roman"/>
          <w:sz w:val="32"/>
          <w:szCs w:val="32"/>
          <w:lang w:eastAsia="zh-CN"/>
        </w:rPr>
        <w:t>，增速连续4年实现两位数增长。</w:t>
      </w:r>
      <w:r>
        <w:rPr>
          <w:rFonts w:hint="default" w:ascii="Times New Roman" w:hAnsi="Times New Roman" w:eastAsia="仿宋_GB2312" w:cs="Times New Roman"/>
          <w:sz w:val="32"/>
          <w:szCs w:val="32"/>
        </w:rPr>
        <w:t>固定资产投资</w:t>
      </w:r>
      <w:r>
        <w:rPr>
          <w:rFonts w:hint="default" w:ascii="Times New Roman" w:hAnsi="Times New Roman" w:eastAsia="仿宋_GB2312" w:cs="Times New Roman"/>
          <w:sz w:val="32"/>
          <w:szCs w:val="32"/>
          <w:lang w:val="en-US" w:eastAsia="zh-CN"/>
        </w:rPr>
        <w:t>98.5亿元，</w:t>
      </w:r>
      <w:r>
        <w:rPr>
          <w:rFonts w:hint="default" w:ascii="Times New Roman" w:hAnsi="Times New Roman" w:eastAsia="仿宋_GB2312" w:cs="Times New Roman"/>
          <w:sz w:val="32"/>
          <w:szCs w:val="32"/>
        </w:rPr>
        <w:t>增长16.6%</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社会消费品零售总额141.3亿元，增长9.4%</w:t>
      </w:r>
      <w:r>
        <w:rPr>
          <w:rFonts w:hint="default" w:ascii="Times New Roman" w:hAnsi="Times New Roman" w:eastAsia="仿宋_GB2312" w:cs="Times New Roman"/>
          <w:sz w:val="32"/>
          <w:szCs w:val="32"/>
          <w:lang w:eastAsia="zh-CN"/>
        </w:rPr>
        <w:t>，增速</w:t>
      </w:r>
      <w:r>
        <w:rPr>
          <w:rFonts w:hint="default" w:ascii="Times New Roman" w:hAnsi="Times New Roman" w:eastAsia="仿宋_GB2312" w:cs="Times New Roman"/>
          <w:sz w:val="32"/>
          <w:szCs w:val="32"/>
          <w:lang w:val="en-US" w:eastAsia="zh-CN"/>
        </w:rPr>
        <w:t>位居</w:t>
      </w:r>
      <w:r>
        <w:rPr>
          <w:rFonts w:hint="default" w:ascii="Times New Roman" w:hAnsi="Times New Roman" w:eastAsia="仿宋_GB2312" w:cs="Times New Roman"/>
          <w:sz w:val="32"/>
          <w:szCs w:val="32"/>
          <w:lang w:eastAsia="zh-CN"/>
        </w:rPr>
        <w:t>全市第二。</w:t>
      </w:r>
      <w:r>
        <w:rPr>
          <w:rFonts w:hint="default" w:ascii="Times New Roman" w:hAnsi="Times New Roman" w:eastAsia="仿宋_GB2312" w:cs="Times New Roman"/>
          <w:sz w:val="32"/>
          <w:szCs w:val="32"/>
          <w:lang w:val="en-US" w:eastAsia="zh-CN"/>
        </w:rPr>
        <w:t>一般公共预算收入9.3亿元，税收收入近5亿元，增长16.8%</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居民人均可支配收入达24003元，增长10.1%。</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现代产业发展提速，产业体系逐步形成</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auto"/>
          <w:kern w:val="2"/>
          <w:sz w:val="32"/>
          <w:szCs w:val="32"/>
          <w:highlight w:val="none"/>
          <w:lang w:val="en-US" w:eastAsia="zh-CN" w:bidi="ar-SA"/>
        </w:rPr>
      </w:pPr>
      <w:r>
        <w:rPr>
          <w:rFonts w:hint="default" w:ascii="Times New Roman" w:hAnsi="Times New Roman" w:eastAsia="仿宋_GB2312" w:cs="Times New Roman"/>
          <w:b/>
          <w:bCs/>
          <w:color w:val="auto"/>
          <w:kern w:val="2"/>
          <w:sz w:val="32"/>
          <w:szCs w:val="32"/>
          <w:lang w:val="en-US" w:eastAsia="zh-CN" w:bidi="ar-SA"/>
        </w:rPr>
        <w:t>1.农业经济提速增效。</w:t>
      </w:r>
      <w:r>
        <w:rPr>
          <w:rFonts w:hint="default" w:ascii="Times New Roman" w:hAnsi="Times New Roman" w:eastAsia="仿宋_GB2312" w:cs="Times New Roman"/>
          <w:b w:val="0"/>
          <w:bCs w:val="0"/>
          <w:sz w:val="32"/>
          <w:szCs w:val="32"/>
          <w:lang w:val="en-US" w:eastAsia="zh-CN"/>
        </w:rPr>
        <w:t>2021年全县农林牧渔业总产值234亿元，增长12.6%。新增5个省级“一村一品、一镇一业”专业村镇，10家省市级重点农业龙头企业，新增遂溪辣椒、遂溪稻田马铃薯和遂溪红糖等三个全国名特优新农产品，依托火龙果产业获评广东省特色农产品优势区，湛川河谷示范基地入选广东荔枝品牌示范基地，</w:t>
      </w:r>
      <w:r>
        <w:rPr>
          <w:rFonts w:hint="default" w:ascii="Times New Roman" w:hAnsi="Times New Roman" w:eastAsia="仿宋_GB2312" w:cs="Times New Roman"/>
          <w:b w:val="0"/>
          <w:bCs w:val="0"/>
          <w:color w:val="auto"/>
          <w:kern w:val="2"/>
          <w:sz w:val="32"/>
          <w:szCs w:val="32"/>
          <w:highlight w:val="none"/>
          <w:lang w:val="en-US" w:eastAsia="zh-CN" w:bidi="ar-SA"/>
        </w:rPr>
        <w:t>遂溪新海茂水产种业科技有限公司获评国家级水产健康养殖和生态养殖示范区，通过省级水产健康养殖和生态养殖示范县验收</w:t>
      </w:r>
      <w:r>
        <w:rPr>
          <w:rFonts w:hint="default" w:ascii="Times New Roman" w:hAnsi="Times New Roman" w:eastAsia="仿宋_GB2312" w:cs="Times New Roman"/>
          <w:b w:val="0"/>
          <w:bCs w:val="0"/>
          <w:sz w:val="32"/>
          <w:szCs w:val="32"/>
          <w:lang w:val="en-US" w:eastAsia="zh-CN"/>
        </w:rPr>
        <w:t>，农牧渔三大领域形成亿级特色优势农业产业带。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bCs/>
          <w:color w:val="auto"/>
          <w:sz w:val="32"/>
          <w:szCs w:val="32"/>
          <w:lang w:val="en-US" w:eastAsia="zh-CN"/>
        </w:rPr>
        <w:t>2.工业经济平稳发展。</w:t>
      </w:r>
      <w:r>
        <w:rPr>
          <w:rFonts w:hint="default" w:ascii="Times New Roman" w:hAnsi="Times New Roman" w:eastAsia="仿宋_GB2312" w:cs="Times New Roman"/>
          <w:b w:val="0"/>
          <w:bCs w:val="0"/>
          <w:kern w:val="2"/>
          <w:sz w:val="32"/>
          <w:szCs w:val="32"/>
          <w:lang w:val="en-US" w:eastAsia="zh-CN" w:bidi="ar-SA"/>
        </w:rPr>
        <w:t>全县完成规上工业总产值197.7亿元，增长14.3%，工业增加值占GDP比重提高2.3个百分点。润阳智造装配式构建厂、拉多美年产60万吨生态绿色复合肥等工业项目陆续投产，鑫辉水产、正大饲料、骏盈建材等项目完成投产上规，全县新增17家规上工业企业、总数达115家。新规划建设北潭港工业园区，初步形成“一园六区”发展新格局，用地规模扩增至2.6万亩，岭北、白坭坡园区基本达到“七通一平”。15家企业获国家高新技术企业认定、总数达44家，2家企业成功揭榜市“揭榜挂帅”制人才团队项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bCs/>
          <w:color w:val="auto"/>
          <w:sz w:val="32"/>
          <w:szCs w:val="32"/>
          <w:lang w:val="en-US" w:eastAsia="zh-CN"/>
        </w:rPr>
        <w:t>3.服务业活力增强。</w:t>
      </w:r>
      <w:r>
        <w:rPr>
          <w:rFonts w:hint="default" w:ascii="Times New Roman" w:hAnsi="Times New Roman" w:eastAsia="仿宋_GB2312" w:cs="Times New Roman"/>
          <w:b w:val="0"/>
          <w:bCs w:val="0"/>
          <w:color w:val="auto"/>
          <w:sz w:val="32"/>
          <w:szCs w:val="32"/>
        </w:rPr>
        <w:t>电子商务发展迅速</w:t>
      </w:r>
      <w:r>
        <w:rPr>
          <w:rFonts w:hint="default" w:ascii="Times New Roman" w:hAnsi="Times New Roman" w:eastAsia="仿宋_GB2312" w:cs="Times New Roman"/>
          <w:b w:val="0"/>
          <w:bCs w:val="0"/>
          <w:color w:val="auto"/>
          <w:sz w:val="32"/>
          <w:szCs w:val="32"/>
          <w:lang w:eastAsia="zh-CN"/>
        </w:rPr>
        <w:t>，遂溪荣登全国县域农产品网络零售前100名，全县电商网络销售额13.</w:t>
      </w:r>
      <w:r>
        <w:rPr>
          <w:rFonts w:hint="default"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lang w:eastAsia="zh-CN"/>
        </w:rPr>
        <w:t>亿元，增长10</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eastAsia="zh-CN"/>
        </w:rPr>
        <w:t>%，位于名邦物流园的新电商园区完成升级改造并投入使用。</w:t>
      </w:r>
      <w:r>
        <w:rPr>
          <w:rFonts w:hint="default" w:ascii="Times New Roman" w:hAnsi="Times New Roman" w:eastAsia="仿宋_GB2312" w:cs="Times New Roman"/>
          <w:b w:val="0"/>
          <w:bCs w:val="0"/>
          <w:color w:val="auto"/>
          <w:sz w:val="32"/>
          <w:szCs w:val="32"/>
          <w:lang w:val="en-US" w:eastAsia="zh-CN"/>
        </w:rPr>
        <w:t>旅游业快速恢复，全年旅游接待人数116.4万人次，增长21.12%，旅游收入14.3亿元，增长8.4%，孔子文化城、螺岗小镇分获省科普教育基地、省乡村民宿示范点。</w:t>
      </w:r>
      <w:r>
        <w:rPr>
          <w:rFonts w:hint="default" w:ascii="Times New Roman" w:hAnsi="Times New Roman" w:eastAsia="仿宋_GB2312" w:cs="Times New Roman"/>
          <w:b w:val="0"/>
          <w:bCs w:val="0"/>
          <w:color w:val="auto"/>
          <w:sz w:val="32"/>
          <w:szCs w:val="32"/>
        </w:rPr>
        <w:t>金融业运行稳健</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highlight w:val="none"/>
        </w:rPr>
        <w:t>全县金融机构本外币存款余额324.97亿元，增长4.8%</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金融机构人民币贷款余额181.26亿元，增长17.9%。</w:t>
      </w:r>
      <w:r>
        <w:rPr>
          <w:rFonts w:hint="default" w:ascii="Times New Roman" w:hAnsi="Times New Roman" w:eastAsia="仿宋_GB2312" w:cs="Times New Roman"/>
          <w:b w:val="0"/>
          <w:bCs w:val="0"/>
          <w:color w:val="auto"/>
          <w:sz w:val="32"/>
          <w:szCs w:val="32"/>
          <w:lang w:val="en-US" w:eastAsia="zh-CN"/>
        </w:rPr>
        <w:t>新基建建设加快，全县新建5G基站344座，累计建成729座，全县光纤接入用户约17.21万户，100M以上光纤用户占比95.51%。</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default" w:ascii="Times New Roman" w:hAnsi="Times New Roman" w:cs="Times New Roman"/>
          <w:b/>
          <w:bCs/>
          <w:lang w:val="en-US" w:eastAsia="zh-CN"/>
        </w:rPr>
      </w:pPr>
      <w:r>
        <w:rPr>
          <w:rFonts w:hint="default" w:ascii="Times New Roman" w:hAnsi="Times New Roman" w:eastAsia="楷体" w:cs="Times New Roman"/>
          <w:b/>
          <w:bCs/>
          <w:lang w:val="en-US" w:eastAsia="zh-CN"/>
        </w:rPr>
        <w:t>基础设施建设加快，交通网络日趋完善</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遂溪大道</w:t>
      </w:r>
      <w:r>
        <w:rPr>
          <w:rFonts w:hint="default" w:ascii="Times New Roman" w:hAnsi="Times New Roman" w:cs="Times New Roman"/>
          <w:kern w:val="2"/>
          <w:sz w:val="32"/>
          <w:szCs w:val="32"/>
          <w:lang w:val="en-US" w:eastAsia="zh-CN" w:bidi="ar-SA"/>
        </w:rPr>
        <w:t>加</w:t>
      </w:r>
      <w:r>
        <w:rPr>
          <w:rFonts w:hint="default" w:ascii="Times New Roman" w:hAnsi="Times New Roman" w:eastAsia="仿宋_GB2312" w:cs="Times New Roman"/>
          <w:kern w:val="2"/>
          <w:sz w:val="32"/>
          <w:szCs w:val="32"/>
          <w:lang w:val="en-US" w:eastAsia="zh-CN" w:bidi="ar-SA"/>
        </w:rPr>
        <w:t>快建设，</w:t>
      </w:r>
      <w:r>
        <w:rPr>
          <w:rFonts w:hint="default" w:ascii="Times New Roman" w:hAnsi="Times New Roman" w:cs="Times New Roman"/>
          <w:kern w:val="2"/>
          <w:sz w:val="32"/>
          <w:szCs w:val="32"/>
          <w:lang w:val="en-US" w:eastAsia="zh-CN" w:bidi="ar-SA"/>
        </w:rPr>
        <w:t>累计</w:t>
      </w:r>
      <w:r>
        <w:rPr>
          <w:rFonts w:hint="default" w:ascii="Times New Roman" w:hAnsi="Times New Roman" w:eastAsia="仿宋_GB2312" w:cs="Times New Roman"/>
          <w:kern w:val="2"/>
          <w:sz w:val="32"/>
          <w:szCs w:val="32"/>
          <w:lang w:val="en-US" w:eastAsia="zh-CN" w:bidi="ar-SA"/>
        </w:rPr>
        <w:t>完成整体工程</w:t>
      </w:r>
      <w:r>
        <w:rPr>
          <w:rFonts w:hint="default" w:ascii="Times New Roman" w:hAnsi="Times New Roman" w:eastAsia="仿宋_GB2312" w:cs="Times New Roman"/>
          <w:kern w:val="2"/>
          <w:sz w:val="32"/>
          <w:szCs w:val="32"/>
          <w:lang w:val="en-US" w:eastAsia="zh-CN" w:bidi="ar-SA"/>
        </w:rPr>
        <w:t>量</w:t>
      </w:r>
      <w:r>
        <w:rPr>
          <w:rFonts w:hint="default" w:ascii="Times New Roman" w:hAnsi="Times New Roman" w:cs="Times New Roman"/>
          <w:kern w:val="2"/>
          <w:sz w:val="32"/>
          <w:szCs w:val="32"/>
          <w:lang w:val="en-US" w:eastAsia="zh-CN" w:bidi="ar-SA"/>
        </w:rPr>
        <w:t>88</w:t>
      </w:r>
      <w:r>
        <w:rPr>
          <w:rFonts w:hint="default"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河东大道（站前大道-228国道）市政工程项目完成可研、立项等前期手续办理。国道207、228遂溪穿城段改线工</w:t>
      </w:r>
      <w:bookmarkStart w:id="0" w:name="_GoBack"/>
      <w:bookmarkEnd w:id="0"/>
      <w:r>
        <w:rPr>
          <w:rFonts w:hint="default" w:ascii="Times New Roman" w:hAnsi="Times New Roman" w:eastAsia="仿宋_GB2312" w:cs="Times New Roman"/>
          <w:kern w:val="2"/>
          <w:sz w:val="32"/>
          <w:szCs w:val="32"/>
          <w:lang w:val="en-US" w:eastAsia="zh-CN" w:bidi="ar-SA"/>
        </w:rPr>
        <w:t>程、国道207线至下泊靶场战备公路</w:t>
      </w:r>
      <w:r>
        <w:rPr>
          <w:rFonts w:hint="default" w:ascii="Times New Roman" w:hAnsi="Times New Roman" w:cs="Times New Roman"/>
          <w:kern w:val="2"/>
          <w:sz w:val="32"/>
          <w:szCs w:val="32"/>
          <w:lang w:val="en-US" w:eastAsia="zh-CN" w:bidi="ar-SA"/>
        </w:rPr>
        <w:t>等项目正在开展前期工作。</w:t>
      </w:r>
      <w:r>
        <w:rPr>
          <w:rFonts w:hint="default" w:ascii="Times New Roman" w:hAnsi="Times New Roman" w:eastAsia="仿宋_GB2312" w:cs="Times New Roman"/>
          <w:kern w:val="2"/>
          <w:sz w:val="32"/>
          <w:szCs w:val="32"/>
          <w:lang w:val="en-US" w:eastAsia="zh-CN" w:bidi="ar-SA"/>
        </w:rPr>
        <w:t>协调省道S545里光至港门段公路、西城快线路线走向，打造遂溪东西两翼交通大通道。</w:t>
      </w:r>
      <w:r>
        <w:rPr>
          <w:rFonts w:hint="default" w:ascii="Times New Roman" w:hAnsi="Times New Roman" w:cs="Times New Roman"/>
          <w:kern w:val="2"/>
          <w:sz w:val="32"/>
          <w:szCs w:val="32"/>
          <w:lang w:val="en-US" w:eastAsia="zh-CN" w:bidi="ar-SA"/>
        </w:rPr>
        <w:t>积极</w:t>
      </w:r>
      <w:r>
        <w:rPr>
          <w:rFonts w:hint="default" w:ascii="Times New Roman" w:hAnsi="Times New Roman" w:eastAsia="仿宋_GB2312" w:cs="Times New Roman"/>
          <w:kern w:val="2"/>
          <w:sz w:val="32"/>
          <w:szCs w:val="32"/>
          <w:lang w:val="en-US" w:eastAsia="zh-CN" w:bidi="ar-SA"/>
        </w:rPr>
        <w:t>配合省、市推进交通重点项目建设工作</w:t>
      </w:r>
      <w:r>
        <w:rPr>
          <w:rFonts w:hint="default" w:ascii="Times New Roman" w:hAnsi="Times New Roman"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玉湛高速公路全线贯通</w:t>
      </w:r>
      <w:r>
        <w:rPr>
          <w:rFonts w:hint="default" w:ascii="Times New Roman" w:hAnsi="Times New Roman"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茂湛高速公路改扩建工程加快建设</w:t>
      </w:r>
      <w:r>
        <w:rPr>
          <w:rFonts w:hint="default" w:ascii="Times New Roman" w:hAnsi="Times New Roman"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湛海高铁进入工可阶段</w:t>
      </w:r>
      <w:r>
        <w:rPr>
          <w:rFonts w:hint="default" w:ascii="Times New Roman" w:hAnsi="Times New Roman"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广湛高铁加快工可编制</w:t>
      </w:r>
      <w:r>
        <w:rPr>
          <w:rFonts w:hint="default" w:ascii="Times New Roman" w:hAnsi="Times New Roman"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广东滨海公路乌石至江洪段开展工可编制</w:t>
      </w:r>
      <w:r>
        <w:rPr>
          <w:rFonts w:hint="default" w:ascii="Times New Roman" w:hAnsi="Times New Roman"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北潭港码头完成特许经营方案编制。全县15个镇全部通二级以上公路，建制村及自然村100%实现水泥路联通。</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重点项目有序开展，投资有效落地建设</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全力破解资金、土地制约要素，争取债券资金超11亿元，2022年提前批专项债申报打赢“翻身战”、46个总投资260亿元项目获批、债券需求资金超126亿元，全年供应工业用地598亩。全年安排重点建设项目共60项，全年完成投资51.87亿元。汇通乳胶医用丁腈橡胶检查手套、官田水库50MW光伏发电项目、县妇幼保健院迁建项目等7个项目竣工建成。五洲药业生物医药科技产业园项目、恒兴海洋食品研发生产项目、城月镇田头村50MW渔光互补光伏发电场等17个项目开工建设。县县域次级医疗卫生中心、县生活垃圾焚烧发电等项目前期工作加快推进。全县完成固定资产投资98.5亿元，增长16.6%。</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城乡建设协调推进，城乡融合步伐加快</w:t>
      </w:r>
    </w:p>
    <w:p>
      <w:pPr>
        <w:pStyle w:val="4"/>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lang w:val="en-US" w:eastAsia="zh-CN"/>
        </w:rPr>
      </w:pPr>
      <w:r>
        <w:rPr>
          <w:rFonts w:hint="default" w:ascii="Times New Roman" w:hAnsi="Times New Roman" w:cs="Times New Roman"/>
          <w:b/>
          <w:bCs w:val="0"/>
          <w:lang w:val="en-US" w:eastAsia="zh-CN"/>
        </w:rPr>
        <w:t>1.县城扩容提质加快。</w:t>
      </w:r>
      <w:r>
        <w:rPr>
          <w:rFonts w:hint="default" w:ascii="Times New Roman" w:hAnsi="Times New Roman" w:cs="Times New Roman"/>
          <w:b w:val="0"/>
          <w:bCs/>
          <w:lang w:val="en-US" w:eastAsia="zh-CN"/>
        </w:rPr>
        <w:t>高标准编制国土空间总体规划，着力打造“一核三区”空间格局。滨河新区建设加速推进，初步完成城市规划编制。撤销遂城镇设立遂城街道和附城镇各项工作推进加快。</w:t>
      </w:r>
      <w:r>
        <w:rPr>
          <w:rFonts w:hint="default" w:ascii="Times New Roman" w:hAnsi="Times New Roman" w:cs="Times New Roman"/>
          <w:lang w:val="en-US" w:eastAsia="zh-CN"/>
        </w:rPr>
        <w:t>完成遂城镇遂城中学至省道S287线公路（东山北路）建设工程、县罗过岭生活垃圾填埋场封场工程、遂溪文化广场至渝湛高速公路遂溪出口段改造提升工程（市政部分）等市政工程项目。县污水处理厂提标改造工程已竣工验收并投入运营。县城老旧城区基础设施改造提升工程加快推进。完成中山路、人民路和府前路等多个路段的破损路面和排污管道的修复，清理下水道横沟291条和雨水井3568座。以创文为抓手大力实施城市更新行动，完成“三旧”改造面积294亩，投入超亿元重拳整治主城区“脏乱差”现象，城市市容环境焕发新面貌。</w:t>
      </w:r>
    </w:p>
    <w:p>
      <w:pPr>
        <w:pStyle w:val="4"/>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color w:val="000000" w:themeColor="text1"/>
          <w:highlight w:val="yellow"/>
          <w:lang w:val="en-US" w:eastAsia="zh-CN"/>
          <w14:textFill>
            <w14:solidFill>
              <w14:schemeClr w14:val="tx1"/>
            </w14:solidFill>
          </w14:textFill>
        </w:rPr>
      </w:pPr>
      <w:r>
        <w:rPr>
          <w:rFonts w:hint="default" w:ascii="Times New Roman" w:hAnsi="Times New Roman" w:cs="Times New Roman"/>
          <w:b/>
          <w:bCs w:val="0"/>
          <w:lang w:val="en-US" w:eastAsia="zh-CN"/>
        </w:rPr>
        <w:t>2.乡村振兴扎实推进。</w:t>
      </w:r>
      <w:r>
        <w:rPr>
          <w:rFonts w:hint="default" w:ascii="Times New Roman" w:hAnsi="Times New Roman" w:cs="Times New Roman"/>
          <w:b w:val="0"/>
          <w:bCs/>
          <w:lang w:val="en-US" w:eastAsia="zh-CN"/>
        </w:rPr>
        <w:t>依法依规完成村（居）委会换届选举工作，选举产生新一届村（居）民委员会成员1379人。</w:t>
      </w:r>
      <w:r>
        <w:rPr>
          <w:rFonts w:hint="default" w:ascii="Times New Roman" w:hAnsi="Times New Roman" w:cs="Times New Roman"/>
          <w:lang w:val="en-US" w:eastAsia="zh-CN"/>
        </w:rPr>
        <w:t>新增省级示范家庭农场3家，家庭农场累计登记92家。新增省级农民合作社示范社5家、市级农民合作社示范社3家，农民合作社登记累计539家。新增在建高标准农田面积4.7万亩，累计建有96万亩。新增土地流转面积4.3万亩。农村集体产权改革任务基本完成。全县15个镇农村宅基地审批试点工作全面启动。累计建设与挂牌益农信息社321家，实现全县建制村信息进村入户全覆盖。实现全县自然村集中供水全覆盖和建制村4G网络信号全覆盖。全面开展驻镇帮镇扶村，全域覆盖15个镇、345个行政村。</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改革开放全面深化，营商环境持续优化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b/>
          <w:bCs/>
          <w:sz w:val="32"/>
          <w:szCs w:val="32"/>
        </w:rPr>
        <w:t>1.对外开放不断扩大。</w:t>
      </w:r>
      <w:r>
        <w:rPr>
          <w:rFonts w:hint="default" w:ascii="Times New Roman" w:hAnsi="Times New Roman" w:eastAsia="仿宋_GB2312" w:cs="Times New Roman"/>
          <w:b w:val="0"/>
          <w:bCs w:val="0"/>
          <w:sz w:val="32"/>
          <w:szCs w:val="32"/>
          <w:lang w:eastAsia="zh-CN"/>
        </w:rPr>
        <w:t>全年共有</w:t>
      </w:r>
      <w:r>
        <w:rPr>
          <w:rFonts w:hint="default" w:ascii="Times New Roman" w:hAnsi="Times New Roman" w:eastAsia="仿宋_GB2312" w:cs="Times New Roman"/>
          <w:sz w:val="32"/>
          <w:szCs w:val="32"/>
        </w:rPr>
        <w:t>招商引资签约项目20个，签约额61.12亿元，</w:t>
      </w:r>
      <w:r>
        <w:rPr>
          <w:rFonts w:hint="default" w:ascii="Times New Roman" w:hAnsi="Times New Roman" w:eastAsia="仿宋_GB2312" w:cs="Times New Roman"/>
          <w:sz w:val="32"/>
          <w:szCs w:val="32"/>
          <w:lang w:val="en-US" w:eastAsia="zh-CN"/>
        </w:rPr>
        <w:t>到位资金46.4亿元，</w:t>
      </w:r>
      <w:r>
        <w:rPr>
          <w:rFonts w:hint="default" w:ascii="Times New Roman" w:hAnsi="Times New Roman" w:eastAsia="仿宋_GB2312" w:cs="Times New Roman"/>
          <w:sz w:val="32"/>
          <w:szCs w:val="32"/>
        </w:rPr>
        <w:t>超额完成市</w:t>
      </w:r>
      <w:r>
        <w:rPr>
          <w:rFonts w:hint="default" w:ascii="Times New Roman" w:hAnsi="Times New Roman" w:eastAsia="仿宋_GB2312" w:cs="Times New Roman"/>
          <w:sz w:val="32"/>
          <w:szCs w:val="32"/>
          <w:lang w:val="en-US" w:eastAsia="zh-CN"/>
        </w:rPr>
        <w:t>下达的各项</w:t>
      </w:r>
      <w:r>
        <w:rPr>
          <w:rFonts w:hint="default" w:ascii="Times New Roman" w:hAnsi="Times New Roman" w:eastAsia="仿宋_GB2312" w:cs="Times New Roman"/>
          <w:sz w:val="32"/>
          <w:szCs w:val="32"/>
        </w:rPr>
        <w:t>招商</w:t>
      </w:r>
      <w:r>
        <w:rPr>
          <w:rFonts w:hint="default" w:ascii="Times New Roman" w:hAnsi="Times New Roman" w:eastAsia="仿宋_GB2312" w:cs="Times New Roman"/>
          <w:sz w:val="32"/>
          <w:szCs w:val="32"/>
          <w:lang w:eastAsia="zh-CN"/>
        </w:rPr>
        <w:t>目标</w:t>
      </w:r>
      <w:r>
        <w:rPr>
          <w:rFonts w:hint="default" w:ascii="Times New Roman" w:hAnsi="Times New Roman" w:eastAsia="仿宋_GB2312" w:cs="Times New Roman"/>
          <w:sz w:val="32"/>
          <w:szCs w:val="32"/>
        </w:rPr>
        <w:t>任务。积极把握“核+副中心”深度合作契机，借助越秀区对口帮扶“东风”，推动“新三高”农业发展稳步开局。成功举办中国（广东）香蕉网络文化节，遂溪县RCEP</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（区域全面经济伙伴关系协定）</w:t>
      </w:r>
      <w:r>
        <w:rPr>
          <w:rFonts w:hint="default" w:ascii="Times New Roman" w:hAnsi="Times New Roman" w:eastAsia="仿宋_GB2312" w:cs="Times New Roman"/>
          <w:sz w:val="32"/>
          <w:szCs w:val="32"/>
        </w:rPr>
        <w:t>香蕉国际采购交易中心入选首批农产品国际采购交易中心，广东北部湾农产品批发中心有限公司被授予RCEP原产地证书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“正大菠萝猪”高铁专列将生猪省级产业园辐射效应扩至湾区市场。</w:t>
      </w:r>
      <w:r>
        <w:rPr>
          <w:rFonts w:hint="default" w:ascii="Times New Roman" w:hAnsi="Times New Roman" w:eastAsia="仿宋_GB2312" w:cs="Times New Roman"/>
          <w:kern w:val="0"/>
          <w:sz w:val="32"/>
          <w:szCs w:val="32"/>
        </w:rPr>
        <w:t>以跨境电商为引领促进外贸稳中提质，完成进出口总额22.9亿元。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5"/>
        <w:textAlignment w:val="auto"/>
        <w:rPr>
          <w:rFonts w:hint="default" w:ascii="Times New Roman" w:hAnsi="Times New Roman" w:eastAsia="仿宋_GB2312" w:cs="Times New Roman"/>
          <w:b w:val="0"/>
          <w:bCs w:val="0"/>
          <w:color w:val="auto"/>
          <w:kern w:val="0"/>
          <w:sz w:val="32"/>
          <w:szCs w:val="32"/>
          <w:highlight w:val="none"/>
          <w:lang w:val="en-US" w:eastAsia="zh-CN"/>
        </w:rPr>
      </w:pPr>
      <w:r>
        <w:rPr>
          <w:rFonts w:hint="default" w:ascii="Times New Roman" w:hAnsi="Times New Roman" w:eastAsia="仿宋_GB2312" w:cs="Times New Roman"/>
          <w:b/>
          <w:bCs/>
          <w:kern w:val="0"/>
          <w:sz w:val="32"/>
          <w:szCs w:val="32"/>
          <w:lang w:val="en-US" w:eastAsia="zh-CN"/>
        </w:rPr>
        <w:t>2.营商环境持续优化。</w:t>
      </w:r>
      <w:r>
        <w:rPr>
          <w:rFonts w:hint="default" w:ascii="Times New Roman" w:hAnsi="Times New Roman" w:eastAsia="仿宋_GB2312" w:cs="Times New Roman"/>
          <w:b w:val="0"/>
          <w:bCs w:val="0"/>
          <w:color w:val="auto"/>
          <w:sz w:val="32"/>
          <w:szCs w:val="32"/>
          <w:highlight w:val="none"/>
          <w:lang w:val="en-US" w:eastAsia="zh-CN"/>
        </w:rPr>
        <w:t>深入践行“营商环境提升年”活动，出台《遂溪县优化营商环境工作实施方案》，细化17个方面64项目标任务，全力营造市场化、法治化、国际化营商环境。</w:t>
      </w:r>
      <w:r>
        <w:rPr>
          <w:rFonts w:hint="default" w:ascii="Times New Roman" w:hAnsi="Times New Roman" w:eastAsia="仿宋_GB2312" w:cs="Times New Roman"/>
          <w:b w:val="0"/>
          <w:bCs w:val="0"/>
          <w:color w:val="auto"/>
          <w:sz w:val="32"/>
          <w:szCs w:val="32"/>
          <w:highlight w:val="none"/>
          <w:lang w:eastAsia="zh-CN"/>
        </w:rPr>
        <w:t>强化企业服务精准性，</w:t>
      </w:r>
      <w:r>
        <w:rPr>
          <w:rFonts w:hint="default" w:ascii="Times New Roman" w:hAnsi="Times New Roman" w:eastAsia="仿宋_GB2312" w:cs="Times New Roman"/>
          <w:b w:val="0"/>
          <w:bCs w:val="0"/>
          <w:color w:val="auto"/>
          <w:sz w:val="32"/>
          <w:szCs w:val="32"/>
          <w:highlight w:val="none"/>
          <w:lang w:val="en-US" w:eastAsia="zh-CN"/>
        </w:rPr>
        <w:t>揭牌运行中小微企业服务中心。审批制、核准制项目由法定办结时限20个工作日压缩为5个工作日，备案制项目由法定办结时限5个工作日压缩为3个工作日。</w:t>
      </w:r>
      <w:r>
        <w:rPr>
          <w:rFonts w:hint="default" w:ascii="Times New Roman" w:hAnsi="Times New Roman" w:eastAsia="仿宋_GB2312" w:cs="Times New Roman"/>
          <w:b w:val="0"/>
          <w:bCs w:val="0"/>
          <w:color w:val="auto"/>
          <w:sz w:val="32"/>
          <w:szCs w:val="32"/>
          <w:highlight w:val="none"/>
        </w:rPr>
        <w:t>推进审批服务“三集中、三到位”，实行政务服务集中办理</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县</w:t>
      </w:r>
      <w:r>
        <w:rPr>
          <w:rFonts w:hint="default" w:ascii="Times New Roman" w:hAnsi="Times New Roman" w:eastAsia="仿宋_GB2312" w:cs="Times New Roman"/>
          <w:b w:val="0"/>
          <w:bCs w:val="0"/>
          <w:color w:val="auto"/>
          <w:sz w:val="32"/>
          <w:szCs w:val="32"/>
          <w:highlight w:val="none"/>
          <w:lang w:val="en-US" w:eastAsia="zh-CN"/>
        </w:rPr>
        <w:t>行政</w:t>
      </w:r>
      <w:r>
        <w:rPr>
          <w:rFonts w:hint="default" w:ascii="Times New Roman" w:hAnsi="Times New Roman" w:eastAsia="仿宋_GB2312" w:cs="Times New Roman"/>
          <w:b w:val="0"/>
          <w:bCs w:val="0"/>
          <w:color w:val="auto"/>
          <w:sz w:val="32"/>
          <w:szCs w:val="32"/>
          <w:highlight w:val="none"/>
        </w:rPr>
        <w:t>服务大厅</w:t>
      </w:r>
      <w:r>
        <w:rPr>
          <w:rFonts w:hint="default" w:ascii="Times New Roman" w:hAnsi="Times New Roman" w:eastAsia="仿宋_GB2312" w:cs="Times New Roman"/>
          <w:b w:val="0"/>
          <w:bCs w:val="0"/>
          <w:color w:val="auto"/>
          <w:sz w:val="32"/>
          <w:szCs w:val="32"/>
          <w:highlight w:val="none"/>
          <w:lang w:val="en-US" w:eastAsia="zh-CN"/>
        </w:rPr>
        <w:t>可</w:t>
      </w:r>
      <w:r>
        <w:rPr>
          <w:rFonts w:hint="default" w:ascii="Times New Roman" w:hAnsi="Times New Roman" w:eastAsia="仿宋_GB2312" w:cs="Times New Roman"/>
          <w:b w:val="0"/>
          <w:bCs w:val="0"/>
          <w:color w:val="auto"/>
          <w:sz w:val="32"/>
          <w:szCs w:val="32"/>
          <w:highlight w:val="none"/>
        </w:rPr>
        <w:t>办理依申请政务服务事项</w:t>
      </w:r>
      <w:r>
        <w:rPr>
          <w:rFonts w:hint="default" w:ascii="Times New Roman" w:hAnsi="Times New Roman" w:eastAsia="仿宋_GB2312" w:cs="Times New Roman"/>
          <w:b w:val="0"/>
          <w:bCs w:val="0"/>
          <w:color w:val="auto"/>
          <w:sz w:val="32"/>
          <w:szCs w:val="32"/>
          <w:highlight w:val="none"/>
          <w:lang w:val="en-US" w:eastAsia="zh-CN"/>
        </w:rPr>
        <w:t>达809项</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全年</w:t>
      </w:r>
      <w:r>
        <w:rPr>
          <w:rFonts w:hint="default" w:ascii="Times New Roman" w:hAnsi="Times New Roman" w:eastAsia="仿宋_GB2312" w:cs="Times New Roman"/>
          <w:b w:val="0"/>
          <w:bCs w:val="0"/>
          <w:color w:val="auto"/>
          <w:sz w:val="32"/>
          <w:szCs w:val="32"/>
          <w:highlight w:val="none"/>
        </w:rPr>
        <w:t>共受（办）理业务77637件，</w:t>
      </w:r>
      <w:r>
        <w:rPr>
          <w:rFonts w:hint="default" w:ascii="Times New Roman" w:hAnsi="Times New Roman" w:eastAsia="仿宋_GB2312" w:cs="Times New Roman"/>
          <w:b w:val="0"/>
          <w:bCs w:val="0"/>
          <w:color w:val="auto"/>
          <w:sz w:val="32"/>
          <w:szCs w:val="32"/>
          <w:highlight w:val="none"/>
          <w:lang w:val="en-US" w:eastAsia="zh-CN"/>
        </w:rPr>
        <w:t>实现</w:t>
      </w:r>
      <w:r>
        <w:rPr>
          <w:rFonts w:hint="default" w:ascii="Times New Roman" w:hAnsi="Times New Roman" w:eastAsia="仿宋_GB2312" w:cs="Times New Roman"/>
          <w:b w:val="0"/>
          <w:bCs w:val="0"/>
          <w:color w:val="auto"/>
          <w:sz w:val="32"/>
          <w:szCs w:val="32"/>
          <w:highlight w:val="none"/>
        </w:rPr>
        <w:t>办事“只进一扇门”</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采用“综合窗口+专业窗口”方式，设置办事窗口77个</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实现“</w:t>
      </w:r>
      <w:r>
        <w:rPr>
          <w:rFonts w:hint="default" w:ascii="Times New Roman" w:hAnsi="Times New Roman" w:eastAsia="仿宋_GB2312" w:cs="Times New Roman"/>
          <w:b w:val="0"/>
          <w:bCs w:val="0"/>
          <w:color w:val="auto"/>
          <w:sz w:val="32"/>
          <w:szCs w:val="32"/>
          <w:highlight w:val="none"/>
          <w:lang w:val="en-US" w:eastAsia="zh-CN"/>
        </w:rPr>
        <w:t>一窗受理、综合服务</w:t>
      </w:r>
      <w:r>
        <w:rPr>
          <w:rFonts w:hint="default" w:ascii="Times New Roman" w:hAnsi="Times New Roman" w:eastAsia="仿宋_GB2312" w:cs="Times New Roman"/>
          <w:b w:val="0"/>
          <w:bCs w:val="0"/>
          <w:color w:val="auto"/>
          <w:sz w:val="32"/>
          <w:szCs w:val="32"/>
          <w:highlight w:val="none"/>
        </w:rPr>
        <w:t>”。依申请事项网办率、12345热线满意率分别达97.6%、99.4%，我县获评市“12345 政务服务便民热线先进单位”。</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生态文明建设深入推进，生态环境明显改善</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000000" w:themeColor="text1"/>
          <w:highlight w:val="yellow"/>
          <w:lang w:val="en-US" w:eastAsia="zh-CN"/>
          <w14:textFill>
            <w14:solidFill>
              <w14:schemeClr w14:val="tx1"/>
            </w14:solidFill>
          </w14:textFill>
        </w:rPr>
      </w:pPr>
      <w:r>
        <w:rPr>
          <w:rFonts w:hint="default" w:ascii="Times New Roman" w:hAnsi="Times New Roman" w:cs="Times New Roman"/>
          <w:sz w:val="32"/>
          <w:szCs w:val="32"/>
          <w:highlight w:val="none"/>
          <w:lang w:val="en-US" w:eastAsia="zh-CN"/>
        </w:rPr>
        <w:t>圆满</w:t>
      </w:r>
      <w:r>
        <w:rPr>
          <w:rFonts w:hint="default" w:ascii="Times New Roman" w:hAnsi="Times New Roman" w:eastAsia="仿宋_GB2312" w:cs="Times New Roman"/>
          <w:sz w:val="32"/>
          <w:szCs w:val="32"/>
          <w:highlight w:val="none"/>
        </w:rPr>
        <w:t>完成第二轮第四批中央环保督察迎检工作</w:t>
      </w:r>
      <w:r>
        <w:rPr>
          <w:rFonts w:hint="default" w:ascii="Times New Roman" w:hAnsi="Times New Roman" w:cs="Times New Roman"/>
          <w:sz w:val="32"/>
          <w:szCs w:val="32"/>
          <w:highlight w:val="none"/>
          <w:lang w:eastAsia="zh-CN"/>
        </w:rPr>
        <w:t>，中央环保督察</w:t>
      </w:r>
      <w:r>
        <w:rPr>
          <w:rFonts w:hint="default" w:ascii="Times New Roman" w:hAnsi="Times New Roman" w:cs="Times New Roman"/>
          <w:sz w:val="32"/>
          <w:szCs w:val="32"/>
          <w:highlight w:val="none"/>
          <w:lang w:val="en-US" w:eastAsia="zh-CN"/>
        </w:rPr>
        <w:t>组</w:t>
      </w:r>
      <w:r>
        <w:rPr>
          <w:rFonts w:hint="default" w:ascii="Times New Roman" w:hAnsi="Times New Roman" w:cs="Times New Roman"/>
          <w:sz w:val="32"/>
          <w:szCs w:val="32"/>
          <w:highlight w:val="none"/>
          <w:lang w:eastAsia="zh-CN"/>
        </w:rPr>
        <w:t>转交办案件66宗，办结率为100%。</w:t>
      </w:r>
      <w:r>
        <w:rPr>
          <w:rFonts w:hint="default" w:ascii="Times New Roman" w:hAnsi="Times New Roman" w:eastAsia="仿宋_GB2312" w:cs="Times New Roman"/>
          <w:sz w:val="32"/>
          <w:szCs w:val="32"/>
          <w:highlight w:val="none"/>
        </w:rPr>
        <w:t>全面实施河长制</w:t>
      </w:r>
      <w:r>
        <w:rPr>
          <w:rFonts w:hint="default" w:ascii="Times New Roman" w:hAnsi="Times New Roman" w:cs="Times New Roman"/>
          <w:sz w:val="32"/>
          <w:szCs w:val="32"/>
          <w:highlight w:val="none"/>
          <w:lang w:eastAsia="zh-CN"/>
        </w:rPr>
        <w:t>，</w:t>
      </w:r>
      <w:r>
        <w:rPr>
          <w:rFonts w:hint="default" w:ascii="Times New Roman" w:hAnsi="Times New Roman" w:eastAsia="仿宋_GB2312" w:cs="Times New Roman"/>
          <w:sz w:val="32"/>
          <w:szCs w:val="32"/>
          <w:highlight w:val="none"/>
        </w:rPr>
        <w:t>大力开展“清四乱”行动，清理河道</w:t>
      </w:r>
      <w:r>
        <w:rPr>
          <w:rFonts w:hint="default" w:ascii="Times New Roman" w:hAnsi="Times New Roman" w:cs="Times New Roman"/>
          <w:sz w:val="32"/>
          <w:szCs w:val="32"/>
          <w:highlight w:val="none"/>
          <w:lang w:val="en-US" w:eastAsia="zh-CN"/>
        </w:rPr>
        <w:t>50.26</w:t>
      </w:r>
      <w:r>
        <w:rPr>
          <w:rFonts w:hint="default" w:ascii="Times New Roman" w:hAnsi="Times New Roman" w:eastAsia="仿宋_GB2312" w:cs="Times New Roman"/>
          <w:sz w:val="32"/>
          <w:szCs w:val="32"/>
          <w:highlight w:val="none"/>
        </w:rPr>
        <w:t>公里，治理河长</w:t>
      </w:r>
      <w:r>
        <w:rPr>
          <w:rFonts w:hint="default" w:ascii="Times New Roman" w:hAnsi="Times New Roman" w:cs="Times New Roman"/>
          <w:sz w:val="32"/>
          <w:szCs w:val="32"/>
          <w:highlight w:val="none"/>
          <w:lang w:val="en-US" w:eastAsia="zh-CN"/>
        </w:rPr>
        <w:t>30.5</w:t>
      </w:r>
      <w:r>
        <w:rPr>
          <w:rFonts w:hint="default" w:ascii="Times New Roman" w:hAnsi="Times New Roman" w:eastAsia="仿宋_GB2312" w:cs="Times New Roman"/>
          <w:sz w:val="32"/>
          <w:szCs w:val="32"/>
          <w:highlight w:val="none"/>
        </w:rPr>
        <w:t>公里</w:t>
      </w:r>
      <w:r>
        <w:rPr>
          <w:rFonts w:hint="default" w:ascii="Times New Roman" w:hAnsi="Times New Roman" w:cs="Times New Roman"/>
          <w:sz w:val="32"/>
          <w:szCs w:val="32"/>
          <w:highlight w:val="none"/>
          <w:lang w:eastAsia="zh-CN"/>
        </w:rPr>
        <w:t>，</w:t>
      </w:r>
      <w:r>
        <w:rPr>
          <w:rFonts w:hint="default" w:ascii="Times New Roman" w:hAnsi="Times New Roman" w:eastAsia="仿宋_GB2312" w:cs="Times New Roman"/>
          <w:sz w:val="32"/>
          <w:szCs w:val="32"/>
          <w:highlight w:val="none"/>
        </w:rPr>
        <w:t>雷州青年运河建设路运河桥断面水</w:t>
      </w:r>
      <w:r>
        <w:rPr>
          <w:rFonts w:hint="default" w:ascii="Times New Roman" w:hAnsi="Times New Roman" w:cs="Times New Roman"/>
          <w:sz w:val="32"/>
          <w:szCs w:val="32"/>
          <w:highlight w:val="none"/>
          <w:lang w:eastAsia="zh-CN"/>
        </w:rPr>
        <w:t>、</w:t>
      </w:r>
      <w:r>
        <w:rPr>
          <w:rFonts w:hint="default" w:ascii="Times New Roman" w:hAnsi="Times New Roman" w:eastAsia="仿宋_GB2312" w:cs="Times New Roman"/>
          <w:sz w:val="32"/>
          <w:szCs w:val="32"/>
          <w:highlight w:val="none"/>
        </w:rPr>
        <w:t>遂溪河罗屋田断面水</w:t>
      </w:r>
      <w:r>
        <w:rPr>
          <w:rFonts w:hint="default" w:ascii="Times New Roman" w:hAnsi="Times New Roman" w:cs="Times New Roman"/>
          <w:sz w:val="32"/>
          <w:szCs w:val="32"/>
          <w:highlight w:val="none"/>
          <w:lang w:val="en-US" w:eastAsia="zh-CN"/>
        </w:rPr>
        <w:t>持续改善</w:t>
      </w:r>
      <w:r>
        <w:rPr>
          <w:rFonts w:hint="default" w:ascii="Times New Roman" w:hAnsi="Times New Roman" w:eastAsia="仿宋_GB2312" w:cs="Times New Roman"/>
          <w:sz w:val="32"/>
          <w:szCs w:val="32"/>
          <w:highlight w:val="none"/>
        </w:rPr>
        <w:t>。</w:t>
      </w:r>
      <w:r>
        <w:rPr>
          <w:rFonts w:hint="default" w:ascii="Times New Roman" w:hAnsi="Times New Roman" w:cs="Times New Roman"/>
          <w:sz w:val="32"/>
          <w:szCs w:val="32"/>
          <w:highlight w:val="none"/>
          <w:lang w:eastAsia="zh-CN"/>
        </w:rPr>
        <w:t>完成</w:t>
      </w:r>
      <w:r>
        <w:rPr>
          <w:rFonts w:hint="default" w:ascii="Times New Roman" w:hAnsi="Times New Roman" w:cs="Times New Roman"/>
          <w:sz w:val="32"/>
          <w:szCs w:val="32"/>
          <w:highlight w:val="none"/>
          <w:lang w:val="en-US" w:eastAsia="zh-CN"/>
        </w:rPr>
        <w:t>14</w:t>
      </w:r>
      <w:r>
        <w:rPr>
          <w:rFonts w:hint="default" w:ascii="Times New Roman" w:hAnsi="Times New Roman" w:cs="Times New Roman"/>
          <w:sz w:val="32"/>
          <w:szCs w:val="32"/>
          <w:highlight w:val="none"/>
          <w:lang w:eastAsia="zh-CN"/>
        </w:rPr>
        <w:t>个镇级污水处理设施及配套管网建设，农村生活污水收集率、处理率分别达</w:t>
      </w:r>
      <w:r>
        <w:rPr>
          <w:rFonts w:hint="default" w:ascii="Times New Roman" w:hAnsi="Times New Roman" w:cs="Times New Roman"/>
          <w:sz w:val="32"/>
          <w:szCs w:val="32"/>
          <w:highlight w:val="none"/>
          <w:lang w:val="en-US" w:eastAsia="zh-CN"/>
        </w:rPr>
        <w:t>90.8</w:t>
      </w:r>
      <w:r>
        <w:rPr>
          <w:rFonts w:hint="default" w:ascii="Times New Roman" w:hAnsi="Times New Roman" w:cs="Times New Roman"/>
          <w:sz w:val="32"/>
          <w:szCs w:val="32"/>
          <w:highlight w:val="none"/>
          <w:lang w:eastAsia="zh-CN"/>
        </w:rPr>
        <w:t>%、</w:t>
      </w:r>
      <w:r>
        <w:rPr>
          <w:rFonts w:hint="default" w:ascii="Times New Roman" w:hAnsi="Times New Roman" w:cs="Times New Roman"/>
          <w:sz w:val="32"/>
          <w:szCs w:val="32"/>
          <w:highlight w:val="none"/>
          <w:lang w:val="en-US" w:eastAsia="zh-CN"/>
        </w:rPr>
        <w:t>83.3</w:t>
      </w:r>
      <w:r>
        <w:rPr>
          <w:rFonts w:hint="default" w:ascii="Times New Roman" w:hAnsi="Times New Roman" w:cs="Times New Roman"/>
          <w:sz w:val="32"/>
          <w:szCs w:val="32"/>
          <w:highlight w:val="none"/>
          <w:lang w:eastAsia="zh-CN"/>
        </w:rPr>
        <w:t>%。持续推进垃圾、厕所、污水“三大革命”，升级改造全县540座不达标公厕，农村无害化卫生户厕基本普及，村庄保洁覆盖面和生活垃圾无害化处理率基本达100%。</w:t>
      </w:r>
      <w:r>
        <w:rPr>
          <w:rFonts w:hint="default" w:ascii="Times New Roman" w:hAnsi="Times New Roman" w:cs="Times New Roman"/>
          <w:lang w:val="en-US" w:eastAsia="zh-CN"/>
        </w:rPr>
        <w:t>持续推进“四小园”生态小板块建设，35个县级美丽宜居示范村项目建设推进加快。北坡、岭北、杨柑镇获评“省卫生镇”，官湖村获市首届美丽乡村电视大赛一等奖。推动3个总投资22.2亿元风电项目建设，填补风电开发领域空白，累计建成20兆瓦分布式光伏项目、位居全市第一，新能源产业链项目总投资突破百亿元。</w:t>
      </w:r>
      <w:r>
        <w:rPr>
          <w:rFonts w:hint="default" w:ascii="Times New Roman" w:hAnsi="Times New Roman" w:eastAsia="仿宋_GB2312" w:cs="Times New Roman"/>
          <w:sz w:val="32"/>
          <w:szCs w:val="32"/>
          <w:highlight w:val="none"/>
        </w:rPr>
        <w:t>全年空气质量优良率占比达98%。</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民生福祉切实增强，社会大局和谐稳定</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民生事业持续推进</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sz w:val="32"/>
          <w:szCs w:val="32"/>
          <w:highlight w:val="none"/>
        </w:rPr>
        <w:t>全年财政民生类支出</w:t>
      </w:r>
      <w:r>
        <w:rPr>
          <w:rFonts w:hint="default" w:ascii="Times New Roman" w:hAnsi="Times New Roman" w:eastAsia="仿宋_GB2312" w:cs="Times New Roman"/>
          <w:sz w:val="32"/>
          <w:szCs w:val="32"/>
          <w:highlight w:val="none"/>
          <w:lang w:val="en-US" w:eastAsia="zh-CN"/>
        </w:rPr>
        <w:t>超41</w:t>
      </w:r>
      <w:r>
        <w:rPr>
          <w:rFonts w:hint="default" w:ascii="Times New Roman" w:hAnsi="Times New Roman" w:eastAsia="仿宋_GB2312" w:cs="Times New Roman"/>
          <w:sz w:val="32"/>
          <w:szCs w:val="32"/>
          <w:highlight w:val="none"/>
        </w:rPr>
        <w:t>亿元，占一般公共预算收入比重</w:t>
      </w:r>
      <w:r>
        <w:rPr>
          <w:rFonts w:hint="default" w:ascii="Times New Roman" w:hAnsi="Times New Roman" w:eastAsia="仿宋_GB2312" w:cs="Times New Roman"/>
          <w:sz w:val="32"/>
          <w:szCs w:val="32"/>
          <w:highlight w:val="none"/>
          <w:lang w:val="en-US" w:eastAsia="zh-CN"/>
        </w:rPr>
        <w:t>超85</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b/>
          <w:bCs/>
          <w:sz w:val="32"/>
          <w:szCs w:val="32"/>
          <w:lang w:val="en-US" w:eastAsia="zh-CN"/>
        </w:rPr>
        <w:t>社会保障</w:t>
      </w:r>
      <w:r>
        <w:rPr>
          <w:rFonts w:hint="default" w:ascii="Times New Roman" w:hAnsi="Times New Roman" w:eastAsia="仿宋_GB2312" w:cs="Times New Roman"/>
          <w:b/>
          <w:bCs/>
          <w:sz w:val="32"/>
          <w:szCs w:val="32"/>
        </w:rPr>
        <w:t>体系</w:t>
      </w:r>
      <w:r>
        <w:rPr>
          <w:rFonts w:hint="default" w:ascii="Times New Roman" w:hAnsi="Times New Roman" w:eastAsia="仿宋_GB2312" w:cs="Times New Roman"/>
          <w:b/>
          <w:bCs/>
          <w:sz w:val="32"/>
          <w:szCs w:val="32"/>
          <w:lang w:val="en-US" w:eastAsia="zh-CN"/>
        </w:rPr>
        <w:t>逐步</w:t>
      </w:r>
      <w:r>
        <w:rPr>
          <w:rFonts w:hint="default" w:ascii="Times New Roman" w:hAnsi="Times New Roman" w:eastAsia="仿宋_GB2312" w:cs="Times New Roman"/>
          <w:b/>
          <w:bCs/>
          <w:sz w:val="32"/>
          <w:szCs w:val="32"/>
        </w:rPr>
        <w:t>完善。</w:t>
      </w:r>
      <w:r>
        <w:rPr>
          <w:rFonts w:hint="default" w:ascii="Times New Roman" w:hAnsi="Times New Roman" w:eastAsia="仿宋_GB2312" w:cs="Times New Roman"/>
          <w:color w:val="auto"/>
          <w:sz w:val="32"/>
          <w:szCs w:val="32"/>
        </w:rPr>
        <w:t>开展</w:t>
      </w:r>
      <w:r>
        <w:rPr>
          <w:rFonts w:hint="default" w:ascii="Times New Roman" w:hAnsi="Times New Roman" w:eastAsia="仿宋_GB2312" w:cs="Times New Roman"/>
          <w:color w:val="auto"/>
          <w:sz w:val="32"/>
          <w:szCs w:val="32"/>
          <w:lang w:val="en-US" w:eastAsia="zh-CN"/>
        </w:rPr>
        <w:t>线上线下招聘会22场，</w:t>
      </w:r>
      <w:r>
        <w:rPr>
          <w:rFonts w:hint="default" w:ascii="Times New Roman" w:hAnsi="Times New Roman" w:eastAsia="仿宋_GB2312" w:cs="Times New Roman"/>
          <w:color w:val="auto"/>
          <w:sz w:val="32"/>
          <w:szCs w:val="32"/>
        </w:rPr>
        <w:t>为本地务工人员提供</w:t>
      </w:r>
      <w:r>
        <w:rPr>
          <w:rFonts w:hint="default" w:ascii="Times New Roman" w:hAnsi="Times New Roman" w:eastAsia="仿宋_GB2312" w:cs="Times New Roman"/>
          <w:color w:val="auto"/>
          <w:sz w:val="32"/>
          <w:szCs w:val="32"/>
          <w:lang w:val="en-US" w:eastAsia="zh-CN"/>
        </w:rPr>
        <w:t>20372</w:t>
      </w:r>
      <w:r>
        <w:rPr>
          <w:rFonts w:hint="default" w:ascii="Times New Roman" w:hAnsi="Times New Roman" w:eastAsia="仿宋_GB2312" w:cs="Times New Roman"/>
          <w:color w:val="auto"/>
          <w:sz w:val="32"/>
          <w:szCs w:val="32"/>
        </w:rPr>
        <w:t>个就业岗位</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sz w:val="32"/>
          <w:szCs w:val="32"/>
          <w:highlight w:val="none"/>
        </w:rPr>
        <w:t>城镇新增就业3859人</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失业再就业2309人，登记失业率2.08%、控制在3.5%以内</w:t>
      </w:r>
      <w:r>
        <w:rPr>
          <w:rFonts w:hint="default" w:ascii="Times New Roman" w:hAnsi="Times New Roman" w:eastAsia="仿宋_GB2312" w:cs="Times New Roman"/>
          <w:sz w:val="32"/>
          <w:szCs w:val="32"/>
          <w:highlight w:val="none"/>
        </w:rPr>
        <w:t>。城乡居民养老保险参保人数</w:t>
      </w:r>
      <w:r>
        <w:rPr>
          <w:rFonts w:hint="default" w:ascii="Times New Roman" w:hAnsi="Times New Roman" w:eastAsia="仿宋_GB2312" w:cs="Times New Roman"/>
          <w:sz w:val="32"/>
          <w:szCs w:val="32"/>
          <w:highlight w:val="none"/>
          <w:lang w:val="en-US" w:eastAsia="zh-CN"/>
        </w:rPr>
        <w:t>超</w:t>
      </w:r>
      <w:r>
        <w:rPr>
          <w:rFonts w:hint="default" w:ascii="Times New Roman" w:hAnsi="Times New Roman" w:eastAsia="仿宋_GB2312" w:cs="Times New Roman"/>
          <w:sz w:val="32"/>
          <w:szCs w:val="32"/>
          <w:highlight w:val="none"/>
        </w:rPr>
        <w:t>40</w:t>
      </w:r>
      <w:r>
        <w:rPr>
          <w:rFonts w:hint="default" w:ascii="Times New Roman" w:hAnsi="Times New Roman" w:eastAsia="仿宋_GB2312" w:cs="Times New Roman"/>
          <w:sz w:val="32"/>
          <w:szCs w:val="32"/>
          <w:highlight w:val="none"/>
          <w:lang w:val="en-US" w:eastAsia="zh-CN"/>
        </w:rPr>
        <w:t>万</w:t>
      </w:r>
      <w:r>
        <w:rPr>
          <w:rFonts w:hint="default" w:ascii="Times New Roman" w:hAnsi="Times New Roman" w:eastAsia="仿宋_GB2312" w:cs="Times New Roman"/>
          <w:sz w:val="32"/>
          <w:szCs w:val="32"/>
          <w:highlight w:val="none"/>
        </w:rPr>
        <w:t>人。建成全市一流县级人才驿站，县镇两级人才驿站实现全覆盖。县社会福利院如期完成搬迁工作</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color w:val="auto"/>
          <w:sz w:val="32"/>
          <w:szCs w:val="32"/>
          <w:lang w:val="en-US" w:eastAsia="zh-CN"/>
        </w:rPr>
        <w:t>最低保障水平、特困人员供养水平、残疾人两项补贴和孤儿、事实无人抚养儿童基本生活保障金逐步提高。</w:t>
      </w:r>
      <w:r>
        <w:rPr>
          <w:rFonts w:hint="default" w:ascii="Times New Roman" w:hAnsi="Times New Roman" w:eastAsia="仿宋_GB2312" w:cs="Times New Roman"/>
          <w:b/>
          <w:bCs/>
          <w:sz w:val="32"/>
          <w:szCs w:val="32"/>
          <w:highlight w:val="none"/>
        </w:rPr>
        <w:t>卫</w:t>
      </w:r>
      <w:r>
        <w:rPr>
          <w:rFonts w:hint="default" w:ascii="Times New Roman" w:hAnsi="Times New Roman" w:eastAsia="仿宋_GB2312" w:cs="Times New Roman"/>
          <w:b/>
          <w:bCs/>
          <w:sz w:val="32"/>
          <w:szCs w:val="32"/>
          <w:highlight w:val="none"/>
          <w:lang w:val="en-US" w:eastAsia="zh-CN"/>
        </w:rPr>
        <w:t>生健康</w:t>
      </w:r>
      <w:r>
        <w:rPr>
          <w:rFonts w:hint="default" w:ascii="Times New Roman" w:hAnsi="Times New Roman" w:eastAsia="仿宋_GB2312" w:cs="Times New Roman"/>
          <w:b/>
          <w:bCs/>
          <w:sz w:val="32"/>
          <w:szCs w:val="32"/>
          <w:highlight w:val="none"/>
        </w:rPr>
        <w:t>事业</w:t>
      </w:r>
      <w:r>
        <w:rPr>
          <w:rFonts w:hint="default" w:ascii="Times New Roman" w:hAnsi="Times New Roman" w:eastAsia="仿宋_GB2312" w:cs="Times New Roman"/>
          <w:b/>
          <w:bCs/>
          <w:sz w:val="32"/>
          <w:szCs w:val="32"/>
          <w:highlight w:val="none"/>
          <w:lang w:val="en-US" w:eastAsia="zh-CN"/>
        </w:rPr>
        <w:t>加快</w:t>
      </w:r>
      <w:r>
        <w:rPr>
          <w:rFonts w:hint="default" w:ascii="Times New Roman" w:hAnsi="Times New Roman" w:eastAsia="仿宋_GB2312" w:cs="Times New Roman"/>
          <w:b/>
          <w:bCs/>
          <w:sz w:val="32"/>
          <w:szCs w:val="32"/>
          <w:highlight w:val="none"/>
        </w:rPr>
        <w:t>发展。</w:t>
      </w:r>
      <w:r>
        <w:rPr>
          <w:rFonts w:hint="default" w:ascii="Times New Roman" w:hAnsi="Times New Roman" w:eastAsia="仿宋_GB2312" w:cs="Times New Roman"/>
          <w:b w:val="0"/>
          <w:bCs w:val="0"/>
          <w:sz w:val="32"/>
          <w:szCs w:val="32"/>
          <w:highlight w:val="none"/>
          <w:lang w:eastAsia="zh-CN"/>
        </w:rPr>
        <w:t>获评省严重精神障碍管理治疗工作先进县。</w:t>
      </w:r>
      <w:r>
        <w:rPr>
          <w:rFonts w:hint="default" w:ascii="Times New Roman" w:hAnsi="Times New Roman" w:eastAsia="仿宋_GB2312" w:cs="Times New Roman"/>
          <w:sz w:val="32"/>
          <w:szCs w:val="32"/>
        </w:rPr>
        <w:t>防控新冠肺炎疫情取得重大成效，全县无确诊病例，没有发生社区疫情传播，没有因境外输入病例引起的本地疫情。全市率先</w:t>
      </w:r>
      <w:r>
        <w:rPr>
          <w:rFonts w:hint="default" w:ascii="Times New Roman" w:hAnsi="Times New Roman" w:eastAsia="仿宋_GB2312" w:cs="Times New Roman"/>
          <w:sz w:val="32"/>
          <w:szCs w:val="32"/>
          <w:lang w:val="en-US" w:eastAsia="zh-CN"/>
        </w:rPr>
        <w:t>采用</w:t>
      </w:r>
      <w:r>
        <w:rPr>
          <w:rFonts w:hint="default" w:ascii="Times New Roman" w:hAnsi="Times New Roman" w:eastAsia="仿宋_GB2312" w:cs="Times New Roman"/>
          <w:sz w:val="32"/>
          <w:szCs w:val="32"/>
        </w:rPr>
        <w:t>托管方式</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成功将城月镇中心卫生院、遂溪县人民医院交由广东医科大学附属医院经营管理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县妇幼保健院整体搬迁升级建设项目已</w:t>
      </w:r>
      <w:r>
        <w:rPr>
          <w:rFonts w:hint="default" w:ascii="Times New Roman" w:hAnsi="Times New Roman" w:eastAsia="仿宋_GB2312" w:cs="Times New Roman"/>
          <w:sz w:val="32"/>
          <w:szCs w:val="32"/>
          <w:lang w:val="en-US" w:eastAsia="zh-CN"/>
        </w:rPr>
        <w:t>竣工</w:t>
      </w:r>
      <w:r>
        <w:rPr>
          <w:rFonts w:hint="default" w:ascii="Times New Roman" w:hAnsi="Times New Roman" w:eastAsia="仿宋_GB2312" w:cs="Times New Roman"/>
          <w:sz w:val="32"/>
          <w:szCs w:val="32"/>
        </w:rPr>
        <w:t>并顺利开业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highlight w:val="none"/>
          <w:lang w:eastAsia="zh-CN"/>
        </w:rPr>
        <w:t>县人民医院、县中医院和县公共卫生医院建设加快。</w:t>
      </w:r>
      <w:r>
        <w:rPr>
          <w:rFonts w:hint="default" w:ascii="Times New Roman" w:hAnsi="Times New Roman" w:eastAsia="仿宋_GB2312" w:cs="Times New Roman"/>
          <w:b/>
          <w:bCs/>
          <w:sz w:val="32"/>
          <w:szCs w:val="32"/>
          <w:highlight w:val="none"/>
        </w:rPr>
        <w:t>教育事业</w:t>
      </w:r>
      <w:r>
        <w:rPr>
          <w:rFonts w:hint="default" w:ascii="Times New Roman" w:hAnsi="Times New Roman" w:eastAsia="仿宋_GB2312" w:cs="Times New Roman"/>
          <w:b/>
          <w:bCs/>
          <w:sz w:val="32"/>
          <w:szCs w:val="32"/>
          <w:highlight w:val="none"/>
          <w:lang w:val="en-US" w:eastAsia="zh-CN"/>
        </w:rPr>
        <w:t>健康发展</w:t>
      </w:r>
      <w:r>
        <w:rPr>
          <w:rFonts w:hint="default" w:ascii="Times New Roman" w:hAnsi="Times New Roman" w:eastAsia="仿宋_GB2312" w:cs="Times New Roman"/>
          <w:b/>
          <w:bCs/>
          <w:sz w:val="32"/>
          <w:szCs w:val="32"/>
          <w:highlight w:val="none"/>
        </w:rPr>
        <w:t>。</w:t>
      </w:r>
      <w:r>
        <w:rPr>
          <w:rFonts w:hint="default" w:ascii="Times New Roman" w:hAnsi="Times New Roman" w:eastAsia="仿宋_GB2312" w:cs="Times New Roman"/>
          <w:b w:val="0"/>
          <w:bCs w:val="0"/>
          <w:color w:val="auto"/>
          <w:sz w:val="32"/>
          <w:szCs w:val="32"/>
          <w:lang w:val="en-US" w:eastAsia="zh-CN"/>
        </w:rPr>
        <w:t>新增公办学前教育学位780个、义务教育阶段学位5445个</w:t>
      </w:r>
      <w:r>
        <w:rPr>
          <w:rFonts w:hint="default" w:ascii="Times New Roman" w:hAnsi="Times New Roman" w:eastAsia="仿宋" w:cs="Times New Roman"/>
          <w:color w:val="auto"/>
          <w:kern w:val="0"/>
          <w:sz w:val="32"/>
          <w:szCs w:val="32"/>
          <w:lang w:val="en-US" w:eastAsia="zh-CN" w:bidi="ar-SA"/>
        </w:rPr>
        <w:t>、</w:t>
      </w:r>
      <w:r>
        <w:rPr>
          <w:rFonts w:hint="default" w:ascii="Times New Roman" w:hAnsi="Times New Roman" w:eastAsia="仿宋_GB2312" w:cs="Times New Roman"/>
          <w:b w:val="0"/>
          <w:bCs w:val="0"/>
          <w:color w:val="auto"/>
          <w:kern w:val="2"/>
          <w:sz w:val="32"/>
          <w:szCs w:val="32"/>
          <w:lang w:val="en-US" w:eastAsia="zh-CN" w:bidi="zh-CN"/>
        </w:rPr>
        <w:t>高中学位1000个</w:t>
      </w:r>
      <w:r>
        <w:rPr>
          <w:rFonts w:hint="default" w:ascii="Times New Roman" w:hAnsi="Times New Roman" w:eastAsia="仿宋_GB2312" w:cs="Times New Roman"/>
          <w:b w:val="0"/>
          <w:bCs w:val="0"/>
          <w:color w:val="auto"/>
          <w:sz w:val="32"/>
          <w:szCs w:val="32"/>
          <w:lang w:val="en-US" w:eastAsia="zh-CN"/>
        </w:rPr>
        <w:t>。全年累计资助各学段家庭经济困难学生56389人次，发放生活费补助资金共3491万元。</w:t>
      </w:r>
      <w:r>
        <w:rPr>
          <w:rFonts w:hint="default" w:ascii="Times New Roman" w:hAnsi="Times New Roman" w:eastAsia="仿宋_GB2312" w:cs="Times New Roman"/>
          <w:sz w:val="32"/>
          <w:szCs w:val="32"/>
          <w:highlight w:val="none"/>
          <w:lang w:val="en-US" w:eastAsia="zh-CN"/>
        </w:rPr>
        <w:t>动工建设</w:t>
      </w:r>
      <w:r>
        <w:rPr>
          <w:rFonts w:hint="default" w:ascii="Times New Roman" w:hAnsi="Times New Roman" w:eastAsia="仿宋_GB2312" w:cs="Times New Roman"/>
          <w:sz w:val="32"/>
          <w:szCs w:val="32"/>
        </w:rPr>
        <w:t>遂城第十三小学</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lang w:eastAsia="zh-CN"/>
        </w:rPr>
        <w:t>完成县职业技术学校东校区建设</w:t>
      </w:r>
      <w:r>
        <w:rPr>
          <w:rFonts w:hint="default" w:ascii="Times New Roman" w:hAnsi="Times New Roman" w:eastAsia="仿宋_GB2312" w:cs="Times New Roman"/>
          <w:b w:val="0"/>
          <w:bCs w:val="0"/>
          <w:color w:val="auto"/>
          <w:sz w:val="32"/>
          <w:szCs w:val="32"/>
          <w:lang w:val="en-US" w:eastAsia="zh-CN"/>
        </w:rPr>
        <w:t>。中考总分平均分连续两年居五县（市）第一。</w:t>
      </w:r>
      <w:r>
        <w:rPr>
          <w:rFonts w:hint="default" w:ascii="Times New Roman" w:hAnsi="Times New Roman" w:eastAsia="仿宋_GB2312" w:cs="Times New Roman"/>
          <w:b w:val="0"/>
          <w:bCs w:val="0"/>
          <w:color w:val="auto"/>
          <w:sz w:val="32"/>
          <w:szCs w:val="32"/>
          <w:lang w:eastAsia="zh-CN"/>
        </w:rPr>
        <w:t>7个教科研项目分别获得市基础教育成果一、二等奖，数量居全市第一。开展“气象大讲堂”活动得到科技部的表扬。</w:t>
      </w:r>
      <w:r>
        <w:rPr>
          <w:rFonts w:hint="default" w:ascii="Times New Roman" w:hAnsi="Times New Roman" w:eastAsia="仿宋_GB2312" w:cs="Times New Roman"/>
          <w:b w:val="0"/>
          <w:bCs w:val="0"/>
          <w:color w:val="auto"/>
          <w:sz w:val="32"/>
          <w:szCs w:val="32"/>
          <w:lang w:val="en-US" w:eastAsia="zh-CN"/>
        </w:rPr>
        <w:t>成功入选全国青少年校园足球试点县名单。</w:t>
      </w:r>
      <w:r>
        <w:rPr>
          <w:rFonts w:hint="default" w:ascii="Times New Roman" w:hAnsi="Times New Roman" w:eastAsia="仿宋_GB2312" w:cs="Times New Roman"/>
          <w:b/>
          <w:bCs/>
          <w:sz w:val="32"/>
          <w:szCs w:val="32"/>
          <w:highlight w:val="none"/>
          <w:lang w:val="en-US" w:eastAsia="zh-CN"/>
        </w:rPr>
        <w:t>文化体育</w:t>
      </w:r>
      <w:r>
        <w:rPr>
          <w:rFonts w:hint="default" w:ascii="Times New Roman" w:hAnsi="Times New Roman" w:eastAsia="仿宋_GB2312" w:cs="Times New Roman"/>
          <w:b/>
          <w:bCs/>
          <w:sz w:val="32"/>
          <w:szCs w:val="32"/>
          <w:highlight w:val="none"/>
        </w:rPr>
        <w:t>事业均衡发展。</w:t>
      </w:r>
      <w:r>
        <w:rPr>
          <w:rFonts w:hint="default" w:ascii="Times New Roman" w:hAnsi="Times New Roman" w:eastAsia="仿宋_GB2312" w:cs="Times New Roman"/>
          <w:b w:val="0"/>
          <w:bCs w:val="0"/>
          <w:sz w:val="32"/>
          <w:szCs w:val="32"/>
          <w:highlight w:val="none"/>
        </w:rPr>
        <w:t>龙湾醒狮基地获评全国群众体育先进单位。</w:t>
      </w:r>
      <w:r>
        <w:rPr>
          <w:rFonts w:hint="default" w:ascii="Times New Roman" w:hAnsi="Times New Roman" w:eastAsia="仿宋_GB2312" w:cs="Times New Roman"/>
          <w:b w:val="0"/>
          <w:bCs w:val="0"/>
          <w:sz w:val="32"/>
          <w:szCs w:val="32"/>
          <w:highlight w:val="none"/>
          <w:lang w:val="en-US" w:eastAsia="zh-CN"/>
        </w:rPr>
        <w:t>遂溪县获评</w:t>
      </w:r>
      <w:r>
        <w:rPr>
          <w:rFonts w:hint="default" w:ascii="Times New Roman" w:hAnsi="Times New Roman" w:eastAsia="仿宋_GB2312" w:cs="Times New Roman"/>
          <w:sz w:val="32"/>
          <w:szCs w:val="32"/>
          <w:highlight w:val="none"/>
        </w:rPr>
        <w:t>2021-2023年度广东省民间文化艺术之乡（遂溪醒狮）称号</w:t>
      </w:r>
      <w:r>
        <w:rPr>
          <w:rFonts w:hint="default" w:ascii="Times New Roman" w:hAnsi="Times New Roman" w:eastAsia="仿宋_GB2312" w:cs="Times New Roman"/>
          <w:sz w:val="32"/>
          <w:szCs w:val="32"/>
          <w:highlight w:val="none"/>
          <w:lang w:eastAsia="zh-CN"/>
        </w:rPr>
        <w:t>。遂溪县木偶戏和遂溪海味腐乳制作技艺被评为第八批市级非物质文化遗产名录。</w:t>
      </w:r>
      <w:r>
        <w:rPr>
          <w:rFonts w:hint="default" w:ascii="Times New Roman" w:hAnsi="Times New Roman" w:eastAsia="仿宋_GB2312" w:cs="Times New Roman"/>
          <w:sz w:val="32"/>
          <w:szCs w:val="32"/>
          <w:highlight w:val="none"/>
        </w:rPr>
        <w:t>全县专业团体和公益性文体单位送戏下乡演出406场次，惠及群众达50多万人次。县图书馆接待进馆读者30多万人次，县博物馆举办展览6期累计</w:t>
      </w:r>
      <w:r>
        <w:rPr>
          <w:rFonts w:hint="default" w:ascii="Times New Roman" w:hAnsi="Times New Roman" w:eastAsia="仿宋_GB2312" w:cs="Times New Roman"/>
          <w:sz w:val="32"/>
          <w:szCs w:val="32"/>
          <w:highlight w:val="none"/>
          <w:lang w:val="en-US" w:eastAsia="zh-CN"/>
        </w:rPr>
        <w:t>接待</w:t>
      </w:r>
      <w:r>
        <w:rPr>
          <w:rFonts w:hint="default" w:ascii="Times New Roman" w:hAnsi="Times New Roman" w:eastAsia="仿宋_GB2312" w:cs="Times New Roman"/>
          <w:sz w:val="32"/>
          <w:szCs w:val="32"/>
          <w:highlight w:val="none"/>
        </w:rPr>
        <w:t>4万多人</w:t>
      </w:r>
      <w:r>
        <w:rPr>
          <w:rFonts w:hint="default" w:ascii="Times New Roman" w:hAnsi="Times New Roman" w:eastAsia="仿宋_GB2312" w:cs="Times New Roman"/>
          <w:sz w:val="32"/>
          <w:szCs w:val="32"/>
          <w:highlight w:val="none"/>
          <w:lang w:val="en-US" w:eastAsia="zh-CN"/>
        </w:rPr>
        <w:t>次</w:t>
      </w:r>
      <w:r>
        <w:rPr>
          <w:rFonts w:hint="default" w:ascii="Times New Roman" w:hAnsi="Times New Roman" w:eastAsia="仿宋_GB2312" w:cs="Times New Roman"/>
          <w:sz w:val="32"/>
          <w:szCs w:val="32"/>
          <w:highlight w:val="none"/>
        </w:rPr>
        <w:t>。县文化中心建设</w:t>
      </w:r>
      <w:r>
        <w:rPr>
          <w:rFonts w:hint="default" w:ascii="Times New Roman" w:hAnsi="Times New Roman" w:eastAsia="仿宋_GB2312" w:cs="Times New Roman"/>
          <w:sz w:val="32"/>
          <w:szCs w:val="32"/>
          <w:highlight w:val="none"/>
          <w:lang w:val="en-US" w:eastAsia="zh-CN"/>
        </w:rPr>
        <w:t>项目完成主体建设。</w:t>
      </w:r>
      <w:r>
        <w:rPr>
          <w:rFonts w:hint="default" w:ascii="Times New Roman" w:hAnsi="Times New Roman" w:eastAsia="仿宋_GB2312" w:cs="Times New Roman"/>
          <w:sz w:val="32"/>
          <w:szCs w:val="32"/>
          <w:highlight w:val="none"/>
        </w:rPr>
        <w:t>累计建成文化馆分馆15个，村服务点45个，图书馆分馆15个，村服务点45个。</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textAlignment w:val="auto"/>
        <w:outlineLvl w:val="9"/>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
          <w:bCs/>
          <w:sz w:val="32"/>
          <w:szCs w:val="32"/>
        </w:rPr>
        <w:t>2.社会大局和谐稳定。</w:t>
      </w:r>
      <w:r>
        <w:rPr>
          <w:rFonts w:hint="default" w:ascii="Times New Roman" w:hAnsi="Times New Roman" w:eastAsia="仿宋_GB2312" w:cs="Times New Roman"/>
          <w:sz w:val="32"/>
          <w:szCs w:val="32"/>
        </w:rPr>
        <w:t>全县</w:t>
      </w:r>
      <w:r>
        <w:rPr>
          <w:rFonts w:hint="default" w:ascii="Times New Roman" w:hAnsi="Times New Roman" w:eastAsia="仿宋_GB2312" w:cs="Times New Roman"/>
          <w:sz w:val="32"/>
          <w:szCs w:val="32"/>
          <w:lang w:val="en-US" w:eastAsia="zh-CN"/>
        </w:rPr>
        <w:t>刑事案件</w:t>
      </w:r>
      <w:r>
        <w:rPr>
          <w:rFonts w:hint="default" w:ascii="Times New Roman" w:hAnsi="Times New Roman" w:eastAsia="仿宋_GB2312" w:cs="Times New Roman"/>
          <w:sz w:val="32"/>
          <w:szCs w:val="32"/>
        </w:rPr>
        <w:t>下降</w:t>
      </w:r>
      <w:r>
        <w:rPr>
          <w:rFonts w:hint="default" w:ascii="Times New Roman" w:hAnsi="Times New Roman" w:eastAsia="仿宋_GB2312" w:cs="Times New Roman"/>
          <w:sz w:val="32"/>
          <w:szCs w:val="32"/>
          <w:lang w:val="en-US" w:eastAsia="zh-CN"/>
        </w:rPr>
        <w:t>11.1</w:t>
      </w:r>
      <w:r>
        <w:rPr>
          <w:rFonts w:hint="default" w:ascii="Times New Roman" w:hAnsi="Times New Roman" w:eastAsia="仿宋_GB2312" w:cs="Times New Roman"/>
          <w:sz w:val="32"/>
          <w:szCs w:val="32"/>
        </w:rPr>
        <w:t>%，八类严重暴力犯罪案件下降</w:t>
      </w:r>
      <w:r>
        <w:rPr>
          <w:rFonts w:hint="default" w:ascii="Times New Roman" w:hAnsi="Times New Roman" w:eastAsia="仿宋_GB2312" w:cs="Times New Roman"/>
          <w:sz w:val="32"/>
          <w:szCs w:val="32"/>
          <w:lang w:val="en-US" w:eastAsia="zh-CN"/>
        </w:rPr>
        <w:t>19.1</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并全部破案</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全县重大刑事治安案件、重大群体性事件“零发生”</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常态化</w:t>
      </w:r>
      <w:r>
        <w:rPr>
          <w:rFonts w:hint="default" w:ascii="Times New Roman" w:hAnsi="Times New Roman" w:eastAsia="仿宋_GB2312" w:cs="Times New Roman"/>
          <w:sz w:val="32"/>
          <w:szCs w:val="32"/>
        </w:rPr>
        <w:t>开展扫黑除恶斗争，侦破涉黑恶刑事案件</w:t>
      </w:r>
      <w:r>
        <w:rPr>
          <w:rFonts w:hint="default" w:ascii="Times New Roman" w:hAnsi="Times New Roman" w:eastAsia="仿宋_GB2312" w:cs="Times New Roman"/>
          <w:sz w:val="32"/>
          <w:szCs w:val="32"/>
          <w:lang w:val="en-US" w:eastAsia="zh-CN"/>
        </w:rPr>
        <w:t>95</w:t>
      </w:r>
      <w:r>
        <w:rPr>
          <w:rFonts w:hint="default" w:ascii="Times New Roman" w:hAnsi="Times New Roman" w:eastAsia="仿宋_GB2312" w:cs="Times New Roman"/>
          <w:sz w:val="32"/>
          <w:szCs w:val="32"/>
        </w:rPr>
        <w:t>宗，刑拘涉黑恶嫌疑人</w:t>
      </w:r>
      <w:r>
        <w:rPr>
          <w:rFonts w:hint="default" w:ascii="Times New Roman" w:hAnsi="Times New Roman" w:eastAsia="仿宋_GB2312" w:cs="Times New Roman"/>
          <w:sz w:val="32"/>
          <w:szCs w:val="32"/>
          <w:lang w:val="en-US" w:eastAsia="zh-CN"/>
        </w:rPr>
        <w:t>202</w:t>
      </w:r>
      <w:r>
        <w:rPr>
          <w:rFonts w:hint="default" w:ascii="Times New Roman" w:hAnsi="Times New Roman" w:eastAsia="仿宋_GB2312" w:cs="Times New Roman"/>
          <w:sz w:val="32"/>
          <w:szCs w:val="32"/>
        </w:rPr>
        <w:t>人，逮捕</w:t>
      </w:r>
      <w:r>
        <w:rPr>
          <w:rFonts w:hint="default" w:ascii="Times New Roman" w:hAnsi="Times New Roman" w:eastAsia="仿宋_GB2312" w:cs="Times New Roman"/>
          <w:sz w:val="32"/>
          <w:szCs w:val="32"/>
          <w:lang w:val="en-US" w:eastAsia="zh-CN"/>
        </w:rPr>
        <w:t>107</w:t>
      </w:r>
      <w:r>
        <w:rPr>
          <w:rFonts w:hint="default" w:ascii="Times New Roman" w:hAnsi="Times New Roman" w:eastAsia="仿宋_GB2312" w:cs="Times New Roman"/>
          <w:sz w:val="32"/>
          <w:szCs w:val="32"/>
        </w:rPr>
        <w:t>人。</w:t>
      </w:r>
      <w:r>
        <w:rPr>
          <w:rFonts w:hint="default" w:ascii="Times New Roman" w:hAnsi="Times New Roman" w:eastAsia="仿宋_GB2312" w:cs="Times New Roman"/>
          <w:bCs/>
          <w:sz w:val="32"/>
          <w:szCs w:val="32"/>
          <w:lang w:val="en-US" w:eastAsia="zh-CN"/>
        </w:rPr>
        <w:t>全年处理欠薪投诉举报41起，为1058名农民工追讨欠薪1317万元。</w:t>
      </w:r>
      <w:r>
        <w:rPr>
          <w:rFonts w:hint="default" w:ascii="Times New Roman" w:hAnsi="Times New Roman" w:eastAsia="仿宋_GB2312" w:cs="Times New Roman"/>
          <w:bCs/>
          <w:sz w:val="32"/>
          <w:szCs w:val="32"/>
        </w:rPr>
        <w:t>扎实推进安全生产领域9大专项整治，共排查事故隐患3485项，整改率</w:t>
      </w:r>
      <w:r>
        <w:rPr>
          <w:rFonts w:hint="default" w:ascii="Times New Roman" w:hAnsi="Times New Roman" w:eastAsia="仿宋_GB2312" w:cs="Times New Roman"/>
          <w:bCs/>
          <w:sz w:val="32"/>
          <w:szCs w:val="32"/>
          <w:lang w:val="en-US" w:eastAsia="zh-CN"/>
        </w:rPr>
        <w:t>完成达</w:t>
      </w:r>
      <w:r>
        <w:rPr>
          <w:rFonts w:hint="default" w:ascii="Times New Roman" w:hAnsi="Times New Roman" w:eastAsia="仿宋_GB2312" w:cs="Times New Roman"/>
          <w:bCs/>
          <w:sz w:val="32"/>
          <w:szCs w:val="32"/>
        </w:rPr>
        <w:t>99.77%</w:t>
      </w:r>
      <w:r>
        <w:rPr>
          <w:rFonts w:hint="default" w:ascii="Times New Roman" w:hAnsi="Times New Roman" w:eastAsia="仿宋_GB2312" w:cs="Times New Roman"/>
          <w:bCs/>
          <w:sz w:val="32"/>
          <w:szCs w:val="32"/>
          <w:lang w:eastAsia="zh-CN"/>
        </w:rPr>
        <w:t>。常态化做好进口冷链食品从业人员、产品、环境核酸检测工作，累计核酸检测人员、样品、环境1.35万份，结果均为阴性。</w:t>
      </w:r>
      <w:r>
        <w:rPr>
          <w:rFonts w:hint="default" w:ascii="Times New Roman" w:hAnsi="Times New Roman" w:eastAsia="仿宋_GB2312" w:cs="Times New Roman"/>
          <w:sz w:val="32"/>
          <w:szCs w:val="32"/>
        </w:rPr>
        <w:t>完成食品抽检3604批次，食品评价性抽检合格率100％，全市排名第一；快检蔬菜和水产品38701批次，筛查发现和销毁544批次不合格食用农产品。</w:t>
      </w:r>
      <w:r>
        <w:rPr>
          <w:rFonts w:hint="default" w:ascii="Times New Roman" w:hAnsi="Times New Roman" w:eastAsia="仿宋_GB2312" w:cs="Times New Roman"/>
          <w:bCs/>
          <w:sz w:val="32"/>
          <w:szCs w:val="32"/>
          <w:lang w:eastAsia="zh-CN"/>
        </w:rPr>
        <w:t>实现学校食堂“互联网+明厨亮灶”建设100%全覆盖。</w:t>
      </w:r>
    </w:p>
    <w:p>
      <w:pPr>
        <w:pStyle w:val="8"/>
        <w:keepNext w:val="0"/>
        <w:keepLines w:val="0"/>
        <w:pageBreakBefore w:val="0"/>
        <w:widowControl w:val="0"/>
        <w:kinsoku/>
        <w:wordWrap/>
        <w:overflowPunct/>
        <w:topLinePunct w:val="0"/>
        <w:autoSpaceDE/>
        <w:bidi w:val="0"/>
        <w:adjustRightInd/>
        <w:snapToGrid/>
        <w:spacing w:line="560" w:lineRule="exact"/>
        <w:ind w:left="0" w:leftChars="0"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202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14:textFill>
            <w14:solidFill>
              <w14:schemeClr w14:val="tx1"/>
            </w14:solidFill>
          </w14:textFill>
        </w:rPr>
        <w:t>年，面对新冠肺炎疫情</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和</w:t>
      </w:r>
      <w:r>
        <w:rPr>
          <w:rFonts w:hint="default" w:ascii="Times New Roman" w:hAnsi="Times New Roman" w:eastAsia="仿宋_GB2312" w:cs="Times New Roman"/>
          <w:color w:val="000000" w:themeColor="text1"/>
          <w:sz w:val="32"/>
          <w:szCs w:val="32"/>
          <w14:textFill>
            <w14:solidFill>
              <w14:schemeClr w14:val="tx1"/>
            </w14:solidFill>
          </w14:textFill>
        </w:rPr>
        <w:t>复杂严峻的经济形势的</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多重</w:t>
      </w:r>
      <w:r>
        <w:rPr>
          <w:rFonts w:hint="default" w:ascii="Times New Roman" w:hAnsi="Times New Roman" w:eastAsia="仿宋_GB2312" w:cs="Times New Roman"/>
          <w:color w:val="000000" w:themeColor="text1"/>
          <w:sz w:val="32"/>
          <w:szCs w:val="32"/>
          <w14:textFill>
            <w14:solidFill>
              <w14:schemeClr w14:val="tx1"/>
            </w14:solidFill>
          </w14:textFill>
        </w:rPr>
        <w:t>影响，</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全县经济稳中向好，综合实力稳步提升，是县委坚强领导、科学决策的结果，是县人大、县政协和社会各界有效监督、大力支持的结果，是全县上下团结一心、真抓实干的结果。但全县经济和社会发展还存在一些突出困难和问题：</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一是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经济总量与发达地区相比仍然偏小，现代产业尚未形成规模，“人口大县、经济小县”基本县情仍未根本性改变。</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二是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外贸经济持续低迷，全县外贸型企业规模不大，货物进出口总额、实际利用外资金额持续低位徘徊，外向型经济发展潜力有待提升。</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三是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要素制约重点项目推进，受用地等要素制约，部分重点项目未能按时间节点开工、竣工，项目推进力度有待进一步加大。</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四是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社会事业仍需增强，涉及群众切身利益的就业、住房、教育、交通、医疗等问题仍较突出，社会事业发展和民生保障离人民群众愿望还有很大差距。</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二、202</w:t>
      </w:r>
      <w:r>
        <w:rPr>
          <w:rFonts w:hint="default" w:ascii="Times New Roman" w:hAnsi="Times New Roman" w:eastAsia="黑体" w:cs="Times New Roman"/>
          <w:sz w:val="32"/>
          <w:szCs w:val="32"/>
          <w:lang w:val="en-US" w:eastAsia="zh-CN"/>
        </w:rPr>
        <w:t>2</w:t>
      </w:r>
      <w:r>
        <w:rPr>
          <w:rFonts w:hint="default" w:ascii="Times New Roman" w:hAnsi="Times New Roman" w:eastAsia="黑体" w:cs="Times New Roman"/>
          <w:sz w:val="32"/>
          <w:szCs w:val="32"/>
        </w:rPr>
        <w:t>年国民经济和社会发展计划安排意见</w:t>
      </w:r>
    </w:p>
    <w:p>
      <w:pPr>
        <w:pStyle w:val="4"/>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2022年，是遂溪建设湛江市域副中心城市的历史新起点，遂溪的发展前景和地位得到空前提升，为实现与湛江同城化发展带来无限发展机遇。</w:t>
      </w:r>
    </w:p>
    <w:p>
      <w:pPr>
        <w:pStyle w:val="4"/>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综合现阶段国内外形势和遂溪高质量发展要求等各方面因素，建议2022年全县经济社会发展主要预期目标如下：地区生产总值增长7%左右；规上工业增加值增长10%左右；固定资产投资增长20%；社会消费品零售总额增长7%；一般公共预算收入增长20%左右；货物进出口总额增长1%；高中阶段教育毛入学率达到99.66；城镇登记失业率控制在3.5%以内；城镇新增就业人数达到3900人；城镇职工基本养老保险参保人数达到9.12万人；城乡居民医疗保险参保人数88.6万人；居民人均可支配收入与地区生产总值增速保持同步。居民消费价格指数累计上涨控制在3%左右。</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000000" w:themeColor="text1"/>
          <w:spacing w:val="0"/>
          <w:sz w:val="32"/>
          <w:szCs w:val="32"/>
          <w:shd w:val="clear" w:fill="FFFFFF"/>
          <w14:textFill>
            <w14:solidFill>
              <w14:schemeClr w14:val="tx1"/>
            </w14:solidFill>
          </w14:textFill>
        </w:rPr>
      </w:pPr>
      <w:r>
        <w:rPr>
          <w:rFonts w:hint="default" w:ascii="Times New Roman" w:hAnsi="Times New Roman" w:eastAsia="仿宋_GB2312" w:cs="Times New Roman"/>
          <w:color w:val="000000" w:themeColor="text1"/>
          <w:sz w:val="32"/>
          <w:szCs w:val="32"/>
          <w:u w:val="none"/>
          <w14:textFill>
            <w14:solidFill>
              <w14:schemeClr w14:val="tx1"/>
            </w14:solidFill>
          </w14:textFill>
        </w:rPr>
        <w:t>为实现上述目标，202</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none"/>
          <w14:textFill>
            <w14:solidFill>
              <w14:schemeClr w14:val="tx1"/>
            </w14:solidFill>
          </w14:textFill>
        </w:rPr>
        <w:t>年</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default" w:ascii="Times New Roman" w:hAnsi="Times New Roman" w:eastAsia="仿宋_GB2312" w:cs="Times New Roman"/>
          <w:i w:val="0"/>
          <w:iCs w:val="0"/>
          <w:caps w:val="0"/>
          <w:color w:val="000000" w:themeColor="text1"/>
          <w:spacing w:val="0"/>
          <w:sz w:val="32"/>
          <w:szCs w:val="32"/>
          <w:shd w:val="clear" w:fill="FFFFFF"/>
          <w:lang w:eastAsia="zh-CN"/>
          <w14:textFill>
            <w14:solidFill>
              <w14:schemeClr w14:val="tx1"/>
            </w14:solidFill>
          </w14:textFill>
        </w:rPr>
        <w:t>我</w:t>
      </w:r>
      <w:r>
        <w:rPr>
          <w:rFonts w:hint="default" w:ascii="Times New Roman" w:hAnsi="Times New Roman" w:eastAsia="仿宋_GB2312" w:cs="Times New Roman"/>
          <w:i w:val="0"/>
          <w:iCs w:val="0"/>
          <w:caps w:val="0"/>
          <w:color w:val="000000" w:themeColor="text1"/>
          <w:spacing w:val="0"/>
          <w:sz w:val="32"/>
          <w:szCs w:val="32"/>
          <w:shd w:val="clear" w:fill="FFFFFF"/>
          <w:lang w:val="en-US" w:eastAsia="zh-CN"/>
          <w14:textFill>
            <w14:solidFill>
              <w14:schemeClr w14:val="tx1"/>
            </w14:solidFill>
          </w14:textFill>
        </w:rPr>
        <w:t>县</w:t>
      </w:r>
      <w:r>
        <w:rPr>
          <w:rFonts w:hint="default" w:ascii="Times New Roman" w:hAnsi="Times New Roman" w:eastAsia="仿宋_GB2312" w:cs="Times New Roman"/>
          <w:i w:val="0"/>
          <w:iCs w:val="0"/>
          <w:caps w:val="0"/>
          <w:color w:val="000000" w:themeColor="text1"/>
          <w:spacing w:val="0"/>
          <w:sz w:val="32"/>
          <w:szCs w:val="32"/>
          <w:shd w:val="clear" w:fill="FFFFFF"/>
          <w:lang w:eastAsia="zh-CN"/>
          <w14:textFill>
            <w14:solidFill>
              <w14:schemeClr w14:val="tx1"/>
            </w14:solidFill>
          </w14:textFill>
        </w:rPr>
        <w:t>将</w:t>
      </w:r>
      <w:r>
        <w:rPr>
          <w:rFonts w:hint="default" w:ascii="Times New Roman" w:hAnsi="Times New Roman" w:eastAsia="仿宋_GB2312" w:cs="Times New Roman"/>
          <w:i w:val="0"/>
          <w:iCs w:val="0"/>
          <w:caps w:val="0"/>
          <w:color w:val="000000" w:themeColor="text1"/>
          <w:spacing w:val="0"/>
          <w:sz w:val="32"/>
          <w:szCs w:val="32"/>
          <w:shd w:val="clear" w:fill="FFFFFF"/>
          <w14:textFill>
            <w14:solidFill>
              <w14:schemeClr w14:val="tx1"/>
            </w14:solidFill>
          </w14:textFill>
        </w:rPr>
        <w:t>以习近平新时代中国特色社会主义思想为指导，全面贯彻落实党的十九大和十九届历次全会</w:t>
      </w:r>
      <w:r>
        <w:rPr>
          <w:rFonts w:hint="default" w:ascii="Times New Roman" w:hAnsi="Times New Roman" w:eastAsia="仿宋_GB2312" w:cs="Times New Roman"/>
          <w:i w:val="0"/>
          <w:iCs w:val="0"/>
          <w:caps w:val="0"/>
          <w:color w:val="000000" w:themeColor="text1"/>
          <w:spacing w:val="0"/>
          <w:sz w:val="32"/>
          <w:szCs w:val="32"/>
          <w:shd w:val="clear" w:fill="FFFFFF"/>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14:textFill>
            <w14:solidFill>
              <w14:schemeClr w14:val="tx1"/>
            </w14:solidFill>
          </w14:textFill>
        </w:rPr>
        <w:t>中央经济工作会议</w:t>
      </w:r>
      <w:r>
        <w:rPr>
          <w:rFonts w:hint="default" w:ascii="Times New Roman" w:hAnsi="Times New Roman" w:eastAsia="仿宋_GB2312" w:cs="Times New Roman"/>
          <w:i w:val="0"/>
          <w:iCs w:val="0"/>
          <w:caps w:val="0"/>
          <w:color w:val="000000" w:themeColor="text1"/>
          <w:spacing w:val="0"/>
          <w:sz w:val="32"/>
          <w:szCs w:val="32"/>
          <w:shd w:val="clear" w:fill="FFFFFF"/>
          <w14:textFill>
            <w14:solidFill>
              <w14:schemeClr w14:val="tx1"/>
            </w14:solidFill>
          </w14:textFill>
        </w:rPr>
        <w:t>精神，深入落实省委十二届十五次全会、市委十一届十五次全会精神，按照省委省政府“1+1+9”、市委市政府“三化三大”和县委工作部署，坚持稳中求进工作总基调，</w:t>
      </w:r>
      <w:r>
        <w:rPr>
          <w:rFonts w:hint="default" w:ascii="Times New Roman" w:hAnsi="Times New Roman" w:eastAsia="仿宋_GB2312" w:cs="Times New Roman"/>
          <w:i w:val="0"/>
          <w:iCs w:val="0"/>
          <w:caps w:val="0"/>
          <w:color w:val="000000" w:themeColor="text1"/>
          <w:spacing w:val="0"/>
          <w:sz w:val="32"/>
          <w:szCs w:val="32"/>
          <w:shd w:val="clear" w:fill="FFFFFF"/>
          <w:lang w:val="en-US" w:eastAsia="zh-CN"/>
          <w14:textFill>
            <w14:solidFill>
              <w14:schemeClr w14:val="tx1"/>
            </w14:solidFill>
          </w14:textFill>
        </w:rPr>
        <w:t>深入</w:t>
      </w:r>
      <w:r>
        <w:rPr>
          <w:rFonts w:hint="default" w:ascii="Times New Roman" w:hAnsi="Times New Roman" w:eastAsia="仿宋_GB2312" w:cs="Times New Roman"/>
          <w:i w:val="0"/>
          <w:iCs w:val="0"/>
          <w:caps w:val="0"/>
          <w:color w:val="000000" w:themeColor="text1"/>
          <w:spacing w:val="0"/>
          <w:sz w:val="32"/>
          <w:szCs w:val="32"/>
          <w:shd w:val="clear" w:fill="FFFFFF"/>
          <w14:textFill>
            <w14:solidFill>
              <w14:schemeClr w14:val="tx1"/>
            </w14:solidFill>
          </w14:textFill>
        </w:rPr>
        <w:t>贯彻新发展理念，</w:t>
      </w:r>
      <w:r>
        <w:rPr>
          <w:rFonts w:hint="default" w:ascii="Times New Roman" w:hAnsi="Times New Roman" w:eastAsia="仿宋_GB2312" w:cs="Times New Roman"/>
          <w:i w:val="0"/>
          <w:iCs w:val="0"/>
          <w:caps w:val="0"/>
          <w:color w:val="000000" w:themeColor="text1"/>
          <w:spacing w:val="0"/>
          <w:sz w:val="32"/>
          <w:szCs w:val="32"/>
          <w:shd w:val="clear" w:fill="FFFFFF"/>
          <w:lang w:val="en-US" w:eastAsia="zh-CN"/>
          <w14:textFill>
            <w14:solidFill>
              <w14:schemeClr w14:val="tx1"/>
            </w14:solidFill>
          </w14:textFill>
        </w:rPr>
        <w:t>大力实施县委</w:t>
      </w:r>
      <w:r>
        <w:rPr>
          <w:rFonts w:hint="default" w:ascii="Times New Roman" w:hAnsi="Times New Roman" w:eastAsia="仿宋_GB2312" w:cs="Times New Roman"/>
          <w:i w:val="0"/>
          <w:iCs w:val="0"/>
          <w:caps w:val="0"/>
          <w:color w:val="000000" w:themeColor="text1"/>
          <w:spacing w:val="0"/>
          <w:sz w:val="32"/>
          <w:szCs w:val="32"/>
          <w:shd w:val="clear" w:fill="FFFFFF"/>
          <w14:textFill>
            <w14:solidFill>
              <w14:schemeClr w14:val="tx1"/>
            </w14:solidFill>
          </w14:textFill>
        </w:rPr>
        <w:t>“1+3+6”行动计划，</w:t>
      </w:r>
      <w:r>
        <w:rPr>
          <w:rFonts w:hint="default" w:ascii="Times New Roman" w:hAnsi="Times New Roman" w:eastAsia="仿宋_GB2312" w:cs="Times New Roman"/>
          <w:i w:val="0"/>
          <w:iCs w:val="0"/>
          <w:caps w:val="0"/>
          <w:color w:val="000000" w:themeColor="text1"/>
          <w:spacing w:val="0"/>
          <w:sz w:val="32"/>
          <w:szCs w:val="32"/>
          <w:shd w:val="clear" w:fill="FFFFFF"/>
          <w:lang w:val="en-US" w:eastAsia="zh-CN"/>
          <w14:textFill>
            <w14:solidFill>
              <w14:schemeClr w14:val="tx1"/>
            </w14:solidFill>
          </w14:textFill>
        </w:rPr>
        <w:t>加快与湛江同城化发展，加快打造市域副中心城市，</w:t>
      </w:r>
      <w:r>
        <w:rPr>
          <w:rFonts w:hint="default" w:ascii="Times New Roman" w:hAnsi="Times New Roman" w:eastAsia="仿宋_GB2312" w:cs="Times New Roman"/>
          <w:i w:val="0"/>
          <w:iCs w:val="0"/>
          <w:caps w:val="0"/>
          <w:color w:val="000000" w:themeColor="text1"/>
          <w:spacing w:val="0"/>
          <w:sz w:val="32"/>
          <w:szCs w:val="32"/>
          <w:shd w:val="clear" w:fill="FFFFFF"/>
          <w14:textFill>
            <w14:solidFill>
              <w14:schemeClr w14:val="tx1"/>
            </w14:solidFill>
          </w14:textFill>
        </w:rPr>
        <w:t>继续做好“六稳”“六保”工作，统筹疫情防控和经济社会发展，保持社会大局稳定，以优异成绩迎接党的二十大胜利召开。着重抓好以下工作：</w:t>
      </w:r>
    </w:p>
    <w:p>
      <w:pPr>
        <w:pStyle w:val="8"/>
        <w:keepNext w:val="0"/>
        <w:keepLines w:val="0"/>
        <w:pageBreakBefore w:val="0"/>
        <w:widowControl w:val="0"/>
        <w:numPr>
          <w:ilvl w:val="0"/>
          <w:numId w:val="2"/>
        </w:numPr>
        <w:kinsoku/>
        <w:wordWrap/>
        <w:overflowPunct/>
        <w:topLinePunct w:val="0"/>
        <w:autoSpaceDE/>
        <w:bidi w:val="0"/>
        <w:adjustRightInd/>
        <w:snapToGrid/>
        <w:spacing w:line="560" w:lineRule="exact"/>
        <w:ind w:left="0" w:leftChars="0" w:firstLine="643" w:firstLineChars="200"/>
        <w:textAlignment w:val="auto"/>
        <w:rPr>
          <w:rFonts w:hint="default" w:ascii="Times New Roman" w:hAnsi="Times New Roman" w:eastAsia="楷体" w:cs="Times New Roman"/>
          <w:b/>
          <w:bCs/>
          <w:i w:val="0"/>
          <w:iCs w:val="0"/>
          <w:caps w:val="0"/>
          <w:color w:val="000000" w:themeColor="text1"/>
          <w:spacing w:val="0"/>
          <w:kern w:val="2"/>
          <w:sz w:val="32"/>
          <w:szCs w:val="32"/>
          <w:shd w:val="clear" w:fill="FFFFFF"/>
          <w:lang w:val="en-US" w:eastAsia="zh-CN" w:bidi="ar-SA"/>
          <w14:textFill>
            <w14:solidFill>
              <w14:schemeClr w14:val="tx1"/>
            </w14:solidFill>
          </w14:textFill>
        </w:rPr>
      </w:pPr>
      <w:r>
        <w:rPr>
          <w:rFonts w:hint="default" w:ascii="Times New Roman" w:hAnsi="Times New Roman" w:eastAsia="楷体" w:cs="Times New Roman"/>
          <w:b/>
          <w:bCs/>
          <w:i w:val="0"/>
          <w:iCs w:val="0"/>
          <w:caps w:val="0"/>
          <w:color w:val="000000" w:themeColor="text1"/>
          <w:spacing w:val="0"/>
          <w:kern w:val="2"/>
          <w:sz w:val="32"/>
          <w:szCs w:val="32"/>
          <w:shd w:val="clear" w:fill="FFFFFF"/>
          <w:lang w:val="en-US" w:eastAsia="zh-CN" w:bidi="ar-SA"/>
          <w14:textFill>
            <w14:solidFill>
              <w14:schemeClr w14:val="tx1"/>
            </w14:solidFill>
          </w14:textFill>
        </w:rPr>
        <w:t>加强经济形势研判，保持经济稳健发展</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000000" w:themeColor="text1"/>
          <w:spacing w:val="0"/>
          <w:kern w:val="2"/>
          <w:sz w:val="32"/>
          <w:szCs w:val="32"/>
          <w:shd w:val="clear" w:fill="FFFFFF"/>
          <w:lang w:val="en-US" w:eastAsia="zh-CN" w:bidi="ar-SA"/>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2"/>
          <w:sz w:val="32"/>
          <w:szCs w:val="32"/>
          <w:shd w:val="clear" w:fill="FFFFFF"/>
          <w:lang w:val="en-US" w:eastAsia="zh-CN" w:bidi="ar-SA"/>
          <w14:textFill>
            <w14:solidFill>
              <w14:schemeClr w14:val="tx1"/>
            </w14:solidFill>
          </w14:textFill>
        </w:rPr>
        <w:t>加强对经济运行的监测、预警和研判，保持全县经济运行在合理区间。针对全县经济运行特别是地区生产总值、固定资产投资、规模以上工业、重点项目等重要指标的运行情况、存在问题及时进行监测、深入分析和预判预警，及时采取应对措施。加快完成各“十四五”专项规划工作，形成完善的“十四五”规划体系，指导经济社会加快高质量发展。分解落实2022年全县经济社会发展目标任务，确保与全县“十四五”规划纲要目标任务保持衔接。</w:t>
      </w:r>
    </w:p>
    <w:p>
      <w:pPr>
        <w:keepNext w:val="0"/>
        <w:keepLines w:val="0"/>
        <w:pageBreakBefore w:val="0"/>
        <w:widowControl w:val="0"/>
        <w:kinsoku/>
        <w:wordWrap/>
        <w:overflowPunct/>
        <w:topLinePunct w:val="0"/>
        <w:autoSpaceDE/>
        <w:bidi w:val="0"/>
        <w:adjustRightInd/>
        <w:snapToGrid/>
        <w:spacing w:line="560" w:lineRule="exact"/>
        <w:ind w:firstLine="643" w:firstLineChars="200"/>
        <w:textAlignment w:val="auto"/>
        <w:rPr>
          <w:rFonts w:hint="default" w:ascii="Times New Roman" w:hAnsi="Times New Roman" w:eastAsia="楷体" w:cs="Times New Roman"/>
          <w:b/>
          <w:bCs/>
          <w:color w:val="auto"/>
          <w:kern w:val="0"/>
          <w:sz w:val="32"/>
          <w:szCs w:val="32"/>
          <w:lang w:val="en-US" w:eastAsia="zh-CN"/>
        </w:rPr>
      </w:pPr>
      <w:r>
        <w:rPr>
          <w:rFonts w:hint="default" w:ascii="Times New Roman" w:hAnsi="Times New Roman" w:eastAsia="楷体" w:cs="Times New Roman"/>
          <w:b/>
          <w:bCs/>
          <w:color w:val="auto"/>
          <w:kern w:val="0"/>
          <w:sz w:val="32"/>
          <w:szCs w:val="32"/>
          <w:lang w:val="en-US" w:eastAsia="zh-CN"/>
        </w:rPr>
        <w:t>（二）促推项目落地建设，切实扩大有效投资</w:t>
      </w:r>
    </w:p>
    <w:p>
      <w:pPr>
        <w:pStyle w:val="8"/>
        <w:keepNext w:val="0"/>
        <w:keepLines w:val="0"/>
        <w:pageBreakBefore w:val="0"/>
        <w:widowControl w:val="0"/>
        <w:kinsoku/>
        <w:wordWrap/>
        <w:overflowPunct/>
        <w:topLinePunct w:val="0"/>
        <w:autoSpaceDE/>
        <w:bidi w:val="0"/>
        <w:adjustRightInd/>
        <w:snapToGrid/>
        <w:spacing w:line="560" w:lineRule="exact"/>
        <w:ind w:left="0" w:leftChars="0" w:firstLine="640" w:firstLineChars="200"/>
        <w:textAlignment w:val="auto"/>
        <w:rPr>
          <w:rFonts w:hint="default" w:ascii="Times New Roman" w:hAnsi="Times New Roman" w:eastAsia="仿宋_GB2312" w:cs="Times New Roman"/>
          <w:i w:val="0"/>
          <w:iCs w:val="0"/>
          <w:caps w:val="0"/>
          <w:color w:val="000000" w:themeColor="text1"/>
          <w:spacing w:val="0"/>
          <w:kern w:val="2"/>
          <w:sz w:val="32"/>
          <w:szCs w:val="32"/>
          <w:shd w:val="clear" w:fill="FFFFFF"/>
          <w:lang w:val="en-US" w:eastAsia="zh-CN" w:bidi="ar-SA"/>
          <w14:textFill>
            <w14:solidFill>
              <w14:schemeClr w14:val="tx1"/>
            </w14:solidFill>
          </w14:textFill>
        </w:rPr>
      </w:pPr>
      <w:r>
        <w:rPr>
          <w:rFonts w:hint="default" w:ascii="Times New Roman" w:hAnsi="Times New Roman" w:eastAsia="仿宋_GB2312" w:cs="Times New Roman"/>
          <w:sz w:val="32"/>
          <w:szCs w:val="32"/>
          <w:lang w:val="en-US" w:eastAsia="zh-CN"/>
        </w:rPr>
        <w:t>全年初步安排投资5000万元以上重点项目49项，总投资294.19亿元，年度计划投资74.87亿元。计划新开工项目20个，计划竣工项目4个，续建项目25个。持续</w:t>
      </w:r>
      <w:r>
        <w:rPr>
          <w:rFonts w:hint="default" w:ascii="Times New Roman" w:hAnsi="Times New Roman" w:eastAsia="仿宋_GB2312" w:cs="Times New Roman"/>
          <w:sz w:val="32"/>
          <w:szCs w:val="32"/>
          <w:highlight w:val="none"/>
          <w:lang w:val="en-US" w:eastAsia="zh-CN"/>
        </w:rPr>
        <w:t>深化工程建设项目审批制度改革，优化项目审批流程，促进项目落地便利化。</w:t>
      </w:r>
      <w:r>
        <w:rPr>
          <w:rFonts w:hint="default" w:ascii="Times New Roman" w:hAnsi="Times New Roman" w:eastAsia="仿宋_GB2312" w:cs="Times New Roman"/>
          <w:sz w:val="32"/>
          <w:szCs w:val="32"/>
          <w:lang w:val="en-US" w:eastAsia="zh-CN"/>
        </w:rPr>
        <w:t>落实县领导“一周一会商”重点项目制度，压实“管行业必须管项目管投资”和“属地管项目管投资”工作责任，坚持以项目建设为工作中心，做好重点项目建设进度预警和协调处置、督查，强力推进重点项目建设，集中精力开展“暖企”活动，确保计划新开工、竣工项目如期开工和建成投产。</w:t>
      </w:r>
      <w:r>
        <w:rPr>
          <w:rFonts w:hint="default" w:ascii="Times New Roman" w:hAnsi="Times New Roman" w:eastAsia="仿宋_GB2312" w:cs="Times New Roman"/>
          <w:sz w:val="32"/>
          <w:szCs w:val="32"/>
          <w:highlight w:val="none"/>
          <w:lang w:val="en-US" w:eastAsia="zh-CN"/>
        </w:rPr>
        <w:t>发挥政府投资的导向作用，重点支持新兴产业、绿色经济、社会民生及重大基础设施建设，鼓励更多资本进入公共服务领域内投资和拓宽民间投资的领域和范围。力争全年引进招商引资项目签约额75亿元、到位资金57亿元。</w:t>
      </w:r>
      <w:r>
        <w:rPr>
          <w:rFonts w:hint="default" w:ascii="Times New Roman" w:hAnsi="Times New Roman" w:eastAsia="仿宋_GB2312" w:cs="Times New Roman"/>
          <w:sz w:val="32"/>
          <w:szCs w:val="32"/>
          <w:lang w:val="en-US" w:eastAsia="zh-CN"/>
        </w:rPr>
        <w:t>确保年度固定资产投资完成118.19亿元，增长20%。</w:t>
      </w:r>
    </w:p>
    <w:p>
      <w:pPr>
        <w:pStyle w:val="8"/>
        <w:keepNext w:val="0"/>
        <w:keepLines w:val="0"/>
        <w:pageBreakBefore w:val="0"/>
        <w:widowControl w:val="0"/>
        <w:kinsoku/>
        <w:wordWrap/>
        <w:overflowPunct/>
        <w:topLinePunct w:val="0"/>
        <w:autoSpaceDE/>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bCs/>
          <w:sz w:val="32"/>
          <w:szCs w:val="32"/>
          <w:lang w:val="en-US" w:eastAsia="zh-CN"/>
        </w:rPr>
        <w:t>（三）加快基础设施建设，构建立体交通网络</w:t>
      </w:r>
    </w:p>
    <w:p>
      <w:pPr>
        <w:pStyle w:val="8"/>
        <w:keepNext w:val="0"/>
        <w:keepLines w:val="0"/>
        <w:pageBreakBefore w:val="0"/>
        <w:widowControl w:val="0"/>
        <w:kinsoku/>
        <w:wordWrap/>
        <w:overflowPunct/>
        <w:topLinePunct w:val="0"/>
        <w:autoSpaceDE/>
        <w:bidi w:val="0"/>
        <w:adjustRightInd/>
        <w:snapToGrid/>
        <w:spacing w:line="560" w:lineRule="exact"/>
        <w:ind w:left="0" w:leftChars="0" w:firstLine="640" w:firstLineChars="200"/>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lang w:val="en-US" w:eastAsia="zh-CN"/>
        </w:rPr>
        <w:t>加快构建“二环四通”交通格局，努力打造成为省、市重要综合交通枢纽，配合省、市推进合湛高铁、沈海高速公路茂湛段（二期）改扩建等项目建设。推动遂溪大道建成通车，实现湛遂半小时交通圈、生活圈。加快推进河东大道建设，打造遂溪城区内纵横交错交通网络。加快推进国道G207、G228线遂溪穿城段改线工程、国道207线至下泊靶场战备公路等项目前期工作。大力实推进北潭作业区、港口航道建设，完善港口装卸储运、物流等配套服务功能。以创建“四好农村路”示范县为契机，持续推进“四好农村路”建设，逐步推进三级公路标准新编县道建设，推进建制村双车道建设。</w:t>
      </w:r>
    </w:p>
    <w:p>
      <w:pPr>
        <w:keepNext w:val="0"/>
        <w:keepLines w:val="0"/>
        <w:pageBreakBefore w:val="0"/>
        <w:widowControl w:val="0"/>
        <w:kinsoku/>
        <w:wordWrap/>
        <w:overflowPunct/>
        <w:topLinePunct w:val="0"/>
        <w:autoSpaceDE/>
        <w:bidi w:val="0"/>
        <w:adjustRightInd/>
        <w:snapToGrid/>
        <w:spacing w:line="560" w:lineRule="exact"/>
        <w:ind w:firstLine="643" w:firstLineChars="200"/>
        <w:textAlignment w:val="auto"/>
        <w:rPr>
          <w:rFonts w:hint="default" w:ascii="Times New Roman" w:hAnsi="Times New Roman" w:eastAsia="楷体" w:cs="Times New Roman"/>
          <w:b/>
          <w:bCs/>
          <w:i w:val="0"/>
          <w:iCs w:val="0"/>
          <w:caps w:val="0"/>
          <w:color w:val="000000" w:themeColor="text1"/>
          <w:spacing w:val="0"/>
          <w:kern w:val="2"/>
          <w:sz w:val="32"/>
          <w:szCs w:val="32"/>
          <w:shd w:val="clear" w:fill="FFFFFF"/>
          <w:lang w:val="en-US" w:eastAsia="zh-CN" w:bidi="ar-SA"/>
          <w14:textFill>
            <w14:solidFill>
              <w14:schemeClr w14:val="tx1"/>
            </w14:solidFill>
          </w14:textFill>
        </w:rPr>
      </w:pPr>
      <w:r>
        <w:rPr>
          <w:rFonts w:hint="default" w:ascii="Times New Roman" w:hAnsi="Times New Roman" w:eastAsia="楷体" w:cs="Times New Roman"/>
          <w:b/>
          <w:bCs/>
          <w:i w:val="0"/>
          <w:iCs w:val="0"/>
          <w:caps w:val="0"/>
          <w:color w:val="000000" w:themeColor="text1"/>
          <w:spacing w:val="0"/>
          <w:kern w:val="2"/>
          <w:sz w:val="32"/>
          <w:szCs w:val="32"/>
          <w:shd w:val="clear" w:fill="FFFFFF"/>
          <w:lang w:val="en-US" w:eastAsia="zh-CN" w:bidi="ar-SA"/>
          <w14:textFill>
            <w14:solidFill>
              <w14:schemeClr w14:val="tx1"/>
            </w14:solidFill>
          </w14:textFill>
        </w:rPr>
        <w:t>（四）优化调整产业结构，打造现代产业体系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outlineLvl w:val="9"/>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bCs/>
          <w:color w:val="auto"/>
          <w:sz w:val="32"/>
          <w:szCs w:val="32"/>
          <w:lang w:val="en-US" w:eastAsia="zh-CN"/>
        </w:rPr>
        <w:t>1.加快发展特色农业。</w:t>
      </w:r>
      <w:r>
        <w:rPr>
          <w:rFonts w:hint="default" w:ascii="Times New Roman" w:hAnsi="Times New Roman" w:eastAsia="仿宋_GB2312" w:cs="Times New Roman"/>
          <w:b w:val="0"/>
          <w:bCs w:val="0"/>
          <w:color w:val="auto"/>
          <w:sz w:val="32"/>
          <w:szCs w:val="32"/>
          <w:highlight w:val="none"/>
          <w:lang w:val="en-US" w:eastAsia="zh-CN"/>
        </w:rPr>
        <w:t>积极培育农村新型经营主体，构建立体式复合型现代农业经营体系，推动组建农业产业化联合体。加快</w:t>
      </w:r>
      <w:r>
        <w:rPr>
          <w:rFonts w:hint="default" w:ascii="Times New Roman" w:hAnsi="Times New Roman" w:eastAsia="仿宋_GB2312" w:cs="Times New Roman"/>
          <w:b w:val="0"/>
          <w:bCs w:val="0"/>
          <w:color w:val="auto"/>
          <w:sz w:val="32"/>
          <w:szCs w:val="32"/>
          <w:highlight w:val="none"/>
          <w:lang w:eastAsia="zh-CN"/>
        </w:rPr>
        <w:t>推进特色农业产业集群项目建设，努力完成45间县级重点农业龙头企业申报认定工作任务。持续扩大遂溪特色优势农业产业规模，推动火龙果、生猪产业园提档升级，创建南药省级现代农业产业园和农业标准化示范区，推动深海网箱养殖优势产区和藿香、广藿香标准示范区提质增效，推进万亩圣女果产业示范基地建设。</w:t>
      </w:r>
      <w:r>
        <w:rPr>
          <w:rFonts w:hint="default" w:ascii="Times New Roman" w:hAnsi="Times New Roman" w:eastAsia="仿宋_GB2312" w:cs="Times New Roman"/>
          <w:color w:val="auto"/>
          <w:sz w:val="32"/>
          <w:szCs w:val="32"/>
          <w:lang w:val="en-US" w:eastAsia="zh-CN"/>
        </w:rPr>
        <w:t>积极推进广东香蕉国际交易中心建设，打造农业发展新增长点。加快发展数字农业，</w:t>
      </w:r>
      <w:r>
        <w:rPr>
          <w:rFonts w:hint="default" w:ascii="Times New Roman" w:hAnsi="Times New Roman" w:eastAsia="仿宋_GB2312" w:cs="Times New Roman"/>
          <w:b w:val="0"/>
          <w:bCs w:val="0"/>
          <w:color w:val="auto"/>
          <w:sz w:val="32"/>
          <w:szCs w:val="32"/>
          <w:highlight w:val="none"/>
          <w:lang w:eastAsia="zh-CN"/>
        </w:rPr>
        <w:t>推进京东数字农场落地建设，与京东、华为共建“数据化、智能化、标准化、电商化、品牌化”县域数字农业发展新标杆。</w:t>
      </w:r>
      <w:r>
        <w:rPr>
          <w:rFonts w:hint="default" w:ascii="Times New Roman" w:hAnsi="Times New Roman" w:eastAsia="仿宋_GB2312" w:cs="Times New Roman"/>
          <w:color w:val="auto"/>
          <w:sz w:val="32"/>
          <w:szCs w:val="32"/>
          <w:lang w:val="en-US" w:eastAsia="zh-CN"/>
        </w:rPr>
        <w:t>积极培育农产品品牌，深入推进“12221”农产品市场体系建设，</w:t>
      </w:r>
      <w:r>
        <w:rPr>
          <w:rFonts w:hint="default" w:ascii="Times New Roman" w:hAnsi="Times New Roman" w:eastAsia="仿宋_GB2312" w:cs="Times New Roman"/>
          <w:b w:val="0"/>
          <w:bCs w:val="0"/>
          <w:color w:val="auto"/>
          <w:sz w:val="32"/>
          <w:szCs w:val="32"/>
          <w:highlight w:val="none"/>
          <w:lang w:eastAsia="zh-CN"/>
        </w:rPr>
        <w:t>新增全国名特优新农产品</w:t>
      </w:r>
      <w:r>
        <w:rPr>
          <w:rFonts w:hint="default" w:ascii="Times New Roman" w:hAnsi="Times New Roman" w:eastAsia="仿宋_GB2312" w:cs="Times New Roman"/>
          <w:b w:val="0"/>
          <w:bCs w:val="0"/>
          <w:color w:val="auto"/>
          <w:sz w:val="32"/>
          <w:szCs w:val="32"/>
          <w:highlight w:val="none"/>
          <w:lang w:val="en-US" w:eastAsia="zh-CN"/>
        </w:rPr>
        <w:t>4</w:t>
      </w:r>
      <w:r>
        <w:rPr>
          <w:rFonts w:hint="default" w:ascii="Times New Roman" w:hAnsi="Times New Roman" w:eastAsia="仿宋_GB2312" w:cs="Times New Roman"/>
          <w:b w:val="0"/>
          <w:bCs w:val="0"/>
          <w:color w:val="auto"/>
          <w:sz w:val="32"/>
          <w:szCs w:val="32"/>
          <w:highlight w:val="none"/>
          <w:lang w:eastAsia="zh-CN"/>
        </w:rPr>
        <w:t>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outlineLvl w:val="9"/>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bCs/>
          <w:color w:val="auto"/>
          <w:sz w:val="32"/>
          <w:szCs w:val="32"/>
          <w:lang w:val="en-US" w:eastAsia="zh-CN"/>
        </w:rPr>
        <w:t>2.加快发展现代工业。</w:t>
      </w:r>
      <w:r>
        <w:rPr>
          <w:rFonts w:hint="default" w:ascii="Times New Roman" w:hAnsi="Times New Roman" w:eastAsia="仿宋_GB2312" w:cs="Times New Roman"/>
          <w:b w:val="0"/>
          <w:bCs w:val="0"/>
          <w:color w:val="auto"/>
          <w:sz w:val="32"/>
          <w:szCs w:val="32"/>
          <w:lang w:val="en-US" w:eastAsia="zh-CN"/>
        </w:rPr>
        <w:t>大力发展食品加工、建材、大健康等战略性支柱产业，促进产业集群化发展。支持天地壹号、正大集团、统实集团延链补链强链，打造“健康食品+”模式；推动以海螺集团、华润集团、鱼峰水泥等建材企业为龙头整合建材行业，打造粤西最大最全的建材工业基地。加大先进材料、装备制造、新能源等战略性新兴产业培育引进力度，打造新增长点。推动同畅环保科技船舶废物处理中心、湛江市综合利用多循环环保等重点项目建成投产见效，打造现代化循环利用产业。推进浙江运达风电零碳南方总部基地等项目建设，以整县屋顶分布式光伏开发试点为契机新建一批风电、光伏发电项目，扩大新能源产业生态圈。</w:t>
      </w:r>
      <w:r>
        <w:rPr>
          <w:rFonts w:hint="default" w:ascii="Times New Roman" w:hAnsi="Times New Roman" w:eastAsia="仿宋_GB2312" w:cs="Times New Roman"/>
          <w:b w:val="0"/>
          <w:bCs w:val="0"/>
          <w:color w:val="auto"/>
          <w:sz w:val="32"/>
          <w:szCs w:val="32"/>
          <w:highlight w:val="none"/>
          <w:lang w:eastAsia="zh-CN"/>
        </w:rPr>
        <w:t>继续提升现有园区基础设施水平，持续完善园区“</w:t>
      </w:r>
      <w:r>
        <w:rPr>
          <w:rFonts w:hint="default" w:ascii="Times New Roman" w:hAnsi="Times New Roman" w:eastAsia="仿宋_GB2312" w:cs="Times New Roman"/>
          <w:b w:val="0"/>
          <w:bCs w:val="0"/>
          <w:color w:val="auto"/>
          <w:sz w:val="32"/>
          <w:szCs w:val="32"/>
          <w:highlight w:val="none"/>
          <w:lang w:val="en-US" w:eastAsia="zh-CN"/>
        </w:rPr>
        <w:t>七</w:t>
      </w:r>
      <w:r>
        <w:rPr>
          <w:rFonts w:hint="default" w:ascii="Times New Roman" w:hAnsi="Times New Roman" w:eastAsia="仿宋_GB2312" w:cs="Times New Roman"/>
          <w:b w:val="0"/>
          <w:bCs w:val="0"/>
          <w:color w:val="auto"/>
          <w:sz w:val="32"/>
          <w:szCs w:val="32"/>
          <w:highlight w:val="none"/>
          <w:lang w:eastAsia="zh-CN"/>
        </w:rPr>
        <w:t>通一平”。加快谋划建设北潭港工业园，打造绿色沿海临港产业基地。</w:t>
      </w:r>
      <w:r>
        <w:rPr>
          <w:rFonts w:hint="default" w:ascii="Times New Roman" w:hAnsi="Times New Roman" w:eastAsia="仿宋_GB2312" w:cs="Times New Roman"/>
          <w:b w:val="0"/>
          <w:bCs w:val="0"/>
          <w:color w:val="auto"/>
          <w:sz w:val="32"/>
          <w:szCs w:val="32"/>
          <w:highlight w:val="none"/>
          <w:lang w:val="en-US" w:eastAsia="zh-CN"/>
        </w:rPr>
        <w:t>启动</w:t>
      </w:r>
      <w:r>
        <w:rPr>
          <w:rFonts w:hint="default" w:ascii="Times New Roman" w:hAnsi="Times New Roman" w:eastAsia="仿宋_GB2312" w:cs="Times New Roman"/>
          <w:b w:val="0"/>
          <w:bCs w:val="0"/>
          <w:color w:val="auto"/>
          <w:sz w:val="32"/>
          <w:szCs w:val="32"/>
          <w:highlight w:val="none"/>
          <w:lang w:eastAsia="zh-CN"/>
        </w:rPr>
        <w:t>省级高新区和省级经开区</w:t>
      </w:r>
      <w:r>
        <w:rPr>
          <w:rFonts w:hint="default" w:ascii="Times New Roman" w:hAnsi="Times New Roman" w:eastAsia="仿宋_GB2312" w:cs="Times New Roman"/>
          <w:b w:val="0"/>
          <w:bCs w:val="0"/>
          <w:color w:val="auto"/>
          <w:sz w:val="32"/>
          <w:szCs w:val="32"/>
          <w:highlight w:val="none"/>
          <w:lang w:val="en-US" w:eastAsia="zh-CN"/>
        </w:rPr>
        <w:t>等省级园区</w:t>
      </w:r>
      <w:r>
        <w:rPr>
          <w:rFonts w:hint="default" w:ascii="Times New Roman" w:hAnsi="Times New Roman" w:eastAsia="仿宋_GB2312" w:cs="Times New Roman"/>
          <w:b w:val="0"/>
          <w:bCs w:val="0"/>
          <w:color w:val="auto"/>
          <w:sz w:val="32"/>
          <w:szCs w:val="32"/>
          <w:highlight w:val="none"/>
          <w:lang w:eastAsia="zh-CN"/>
        </w:rPr>
        <w:t>创建工作。</w:t>
      </w:r>
      <w:r>
        <w:rPr>
          <w:rFonts w:hint="default" w:ascii="Times New Roman" w:hAnsi="Times New Roman" w:eastAsia="仿宋_GB2312" w:cs="Times New Roman"/>
          <w:b w:val="0"/>
          <w:bCs w:val="0"/>
          <w:color w:val="auto"/>
          <w:sz w:val="32"/>
          <w:szCs w:val="32"/>
          <w:lang w:val="en-US" w:eastAsia="zh-CN"/>
        </w:rPr>
        <w:t>推动2家企业数字化转型，新增国家高新技术企业3家以上。</w:t>
      </w:r>
    </w:p>
    <w:p>
      <w:pPr>
        <w:pStyle w:val="4"/>
        <w:keepNext w:val="0"/>
        <w:keepLines w:val="0"/>
        <w:pageBreakBefore w:val="0"/>
        <w:widowControl w:val="0"/>
        <w:numPr>
          <w:ilvl w:val="0"/>
          <w:numId w:val="0"/>
        </w:numPr>
        <w:tabs>
          <w:tab w:val="left" w:pos="562"/>
          <w:tab w:val="left" w:pos="3372"/>
          <w:tab w:val="left" w:pos="3653"/>
        </w:tabs>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val="0"/>
          <w:bCs w:val="0"/>
          <w:color w:val="auto"/>
          <w:kern w:val="0"/>
          <w:sz w:val="32"/>
          <w:szCs w:val="32"/>
          <w:lang w:eastAsia="zh-CN"/>
        </w:rPr>
      </w:pPr>
      <w:r>
        <w:rPr>
          <w:rFonts w:hint="default" w:ascii="Times New Roman" w:hAnsi="Times New Roman" w:cs="Times New Roman"/>
          <w:b/>
          <w:bCs/>
          <w:color w:val="auto"/>
          <w:kern w:val="2"/>
          <w:sz w:val="32"/>
          <w:szCs w:val="32"/>
          <w:lang w:val="en-US" w:eastAsia="zh-CN" w:bidi="ar-SA"/>
        </w:rPr>
        <w:t>3.</w:t>
      </w:r>
      <w:r>
        <w:rPr>
          <w:rFonts w:hint="default" w:ascii="Times New Roman" w:hAnsi="Times New Roman" w:eastAsia="仿宋_GB2312" w:cs="Times New Roman"/>
          <w:b/>
          <w:bCs/>
          <w:color w:val="auto"/>
          <w:kern w:val="2"/>
          <w:sz w:val="32"/>
          <w:szCs w:val="32"/>
          <w:lang w:val="en-US" w:eastAsia="zh-CN" w:bidi="ar-SA"/>
        </w:rPr>
        <w:t>加快</w:t>
      </w:r>
      <w:r>
        <w:rPr>
          <w:rFonts w:hint="default" w:ascii="Times New Roman" w:hAnsi="Times New Roman" w:cs="Times New Roman"/>
          <w:b/>
          <w:bCs/>
          <w:color w:val="auto"/>
          <w:kern w:val="2"/>
          <w:sz w:val="32"/>
          <w:szCs w:val="32"/>
          <w:lang w:val="en-US" w:eastAsia="zh-CN" w:bidi="ar-SA"/>
        </w:rPr>
        <w:t>发展</w:t>
      </w:r>
      <w:r>
        <w:rPr>
          <w:rFonts w:hint="default" w:ascii="Times New Roman" w:hAnsi="Times New Roman" w:eastAsia="仿宋_GB2312" w:cs="Times New Roman"/>
          <w:b/>
          <w:bCs/>
          <w:color w:val="auto"/>
          <w:kern w:val="2"/>
          <w:sz w:val="32"/>
          <w:szCs w:val="32"/>
          <w:lang w:val="en-US" w:eastAsia="zh-CN" w:bidi="ar-SA"/>
        </w:rPr>
        <w:t>现代服务业。</w:t>
      </w:r>
      <w:r>
        <w:rPr>
          <w:rFonts w:hint="default" w:ascii="Times New Roman" w:hAnsi="Times New Roman" w:eastAsia="仿宋_GB2312" w:cs="Times New Roman"/>
          <w:b w:val="0"/>
          <w:bCs w:val="0"/>
          <w:color w:val="auto"/>
          <w:sz w:val="32"/>
          <w:szCs w:val="32"/>
          <w:highlight w:val="none"/>
          <w:lang w:val="en-US" w:eastAsia="zh-CN"/>
        </w:rPr>
        <w:t>持续推动全域旅游发展</w:t>
      </w:r>
      <w:r>
        <w:rPr>
          <w:rFonts w:hint="default" w:ascii="Times New Roman" w:hAnsi="Times New Roman"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kern w:val="0"/>
          <w:sz w:val="32"/>
          <w:szCs w:val="32"/>
        </w:rPr>
        <w:t>重点推进广东省全域旅游示范县创建工作</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cs="Times New Roman"/>
          <w:b w:val="0"/>
          <w:bCs w:val="0"/>
          <w:color w:val="auto"/>
          <w:kern w:val="0"/>
          <w:sz w:val="32"/>
          <w:szCs w:val="32"/>
          <w:lang w:val="en-US" w:eastAsia="zh-CN"/>
        </w:rPr>
        <w:t>加快</w:t>
      </w:r>
      <w:r>
        <w:rPr>
          <w:rFonts w:hint="default" w:ascii="Times New Roman" w:hAnsi="Times New Roman" w:eastAsia="仿宋_GB2312" w:cs="Times New Roman"/>
          <w:b w:val="0"/>
          <w:bCs w:val="0"/>
          <w:color w:val="auto"/>
          <w:kern w:val="0"/>
          <w:sz w:val="32"/>
          <w:szCs w:val="32"/>
        </w:rPr>
        <w:t>推进全域旅游大数据平台建设和游客集散中心建成运营</w:t>
      </w:r>
      <w:r>
        <w:rPr>
          <w:rFonts w:hint="default" w:ascii="Times New Roman" w:hAnsi="Times New Roman"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rPr>
        <w:t>积极推进螺岗小镇二期建设和生态旅游度假酒店等新兴旅游产业项目，力争</w:t>
      </w:r>
      <w:r>
        <w:rPr>
          <w:rFonts w:hint="default" w:ascii="Times New Roman" w:hAnsi="Times New Roman" w:eastAsia="仿宋_GB2312" w:cs="Times New Roman"/>
          <w:b w:val="0"/>
          <w:bCs w:val="0"/>
          <w:color w:val="auto"/>
          <w:kern w:val="0"/>
          <w:sz w:val="32"/>
          <w:szCs w:val="32"/>
          <w:lang w:val="en-US" w:eastAsia="zh-CN"/>
        </w:rPr>
        <w:t>年内将</w:t>
      </w:r>
      <w:r>
        <w:rPr>
          <w:rFonts w:hint="default" w:ascii="Times New Roman" w:hAnsi="Times New Roman" w:eastAsia="仿宋_GB2312" w:cs="Times New Roman"/>
          <w:b w:val="0"/>
          <w:bCs w:val="0"/>
          <w:color w:val="auto"/>
          <w:kern w:val="0"/>
          <w:sz w:val="32"/>
          <w:szCs w:val="32"/>
        </w:rPr>
        <w:t>孔子文化城创建成为4A景区。</w:t>
      </w:r>
      <w:r>
        <w:rPr>
          <w:rFonts w:hint="default" w:ascii="Times New Roman" w:hAnsi="Times New Roman" w:eastAsia="仿宋_GB2312" w:cs="Times New Roman"/>
          <w:b w:val="0"/>
          <w:bCs w:val="0"/>
          <w:color w:val="auto"/>
          <w:kern w:val="0"/>
          <w:sz w:val="32"/>
          <w:szCs w:val="32"/>
          <w:lang w:val="en-US" w:eastAsia="zh-CN"/>
        </w:rPr>
        <w:t>深入发展</w:t>
      </w:r>
      <w:r>
        <w:rPr>
          <w:rFonts w:hint="default" w:ascii="Times New Roman" w:hAnsi="Times New Roman" w:eastAsia="仿宋_GB2312" w:cs="Times New Roman"/>
          <w:b w:val="0"/>
          <w:bCs w:val="0"/>
          <w:color w:val="auto"/>
          <w:kern w:val="0"/>
          <w:sz w:val="32"/>
          <w:szCs w:val="32"/>
        </w:rPr>
        <w:t>电商产业</w:t>
      </w:r>
      <w:r>
        <w:rPr>
          <w:rFonts w:hint="default" w:ascii="Times New Roman" w:hAnsi="Times New Roman" w:cs="Times New Roman"/>
          <w:b w:val="0"/>
          <w:bCs w:val="0"/>
          <w:color w:val="auto"/>
          <w:kern w:val="0"/>
          <w:sz w:val="32"/>
          <w:szCs w:val="32"/>
          <w:lang w:eastAsia="zh-CN"/>
        </w:rPr>
        <w:t>，</w:t>
      </w:r>
      <w:r>
        <w:rPr>
          <w:rFonts w:hint="default" w:ascii="Times New Roman" w:hAnsi="Times New Roman" w:eastAsia="仿宋_GB2312" w:cs="Times New Roman"/>
          <w:color w:val="auto"/>
          <w:kern w:val="2"/>
          <w:sz w:val="32"/>
          <w:szCs w:val="32"/>
          <w:lang w:val="en-US" w:eastAsia="zh-CN" w:bidi="ar-SA"/>
        </w:rPr>
        <w:t>继续实施好国家级电子商务进农村综合示范县项目方案，高质量推进示范县创建工作。利用白泥坡商贸物流城的优势，引进大公司进驻，增强园区影响力</w:t>
      </w:r>
      <w:r>
        <w:rPr>
          <w:rFonts w:hint="default" w:ascii="Times New Roman" w:hAnsi="Times New Roman" w:cs="Times New Roman"/>
          <w:color w:val="auto"/>
          <w:kern w:val="2"/>
          <w:sz w:val="32"/>
          <w:szCs w:val="32"/>
          <w:lang w:val="en-US" w:eastAsia="zh-CN" w:bidi="ar-SA"/>
        </w:rPr>
        <w:t>和</w:t>
      </w:r>
      <w:r>
        <w:rPr>
          <w:rFonts w:hint="default" w:ascii="Times New Roman" w:hAnsi="Times New Roman" w:eastAsia="仿宋_GB2312" w:cs="Times New Roman"/>
          <w:color w:val="auto"/>
          <w:kern w:val="2"/>
          <w:sz w:val="32"/>
          <w:szCs w:val="32"/>
          <w:lang w:val="en-US" w:eastAsia="zh-CN" w:bidi="ar-SA"/>
        </w:rPr>
        <w:t>聚集效应。搭建公共创业孵化平台，利用众创空间实现“订单式”培养模式，降低企业成本，培育电商人才。引导电商企业充分发掘本地特色农产品并对其精深加工，打造“明星产品”，延长产业链、提高附加值。</w:t>
      </w:r>
      <w:r>
        <w:rPr>
          <w:rFonts w:hint="default" w:ascii="Times New Roman" w:hAnsi="Times New Roman" w:eastAsia="仿宋_GB2312" w:cs="Times New Roman"/>
          <w:b w:val="0"/>
          <w:bCs w:val="0"/>
          <w:color w:val="auto"/>
          <w:kern w:val="0"/>
          <w:sz w:val="32"/>
          <w:szCs w:val="32"/>
        </w:rPr>
        <w:t>健康发展房地产业</w:t>
      </w:r>
      <w:r>
        <w:rPr>
          <w:rFonts w:hint="default" w:ascii="Times New Roman" w:hAnsi="Times New Roman"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rPr>
        <w:t>坚持“房子是用来住的，不是用来炒的”定位，按照稳地价、稳房价、稳预期的调控要求，</w:t>
      </w:r>
      <w:r>
        <w:rPr>
          <w:rFonts w:hint="default" w:ascii="Times New Roman" w:hAnsi="Times New Roman" w:cs="Times New Roman"/>
          <w:b w:val="0"/>
          <w:bCs w:val="0"/>
          <w:color w:val="auto"/>
          <w:kern w:val="0"/>
          <w:sz w:val="32"/>
          <w:szCs w:val="32"/>
          <w:lang w:eastAsia="zh-CN"/>
        </w:rPr>
        <w:t>支持商品房市场更好满足购房者的合理住房需求，促进房地产业良性循环和健康发展。</w:t>
      </w:r>
      <w:r>
        <w:rPr>
          <w:rFonts w:hint="default" w:ascii="Times New Roman" w:hAnsi="Times New Roman" w:cs="Times New Roman"/>
          <w:color w:val="auto"/>
          <w:kern w:val="2"/>
          <w:sz w:val="32"/>
          <w:szCs w:val="32"/>
          <w:lang w:val="en-US" w:eastAsia="zh-CN" w:bidi="ar-SA"/>
        </w:rPr>
        <w:t>加快推进广电网络基础设施5G+4K网络升级改造工程建设，构建广电网络多功能服务平台，巩固发展主流媒体宣传战地。</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楷体_GB2312" w:cs="Times New Roman"/>
          <w:b/>
          <w:bCs/>
          <w:color w:val="auto"/>
          <w:sz w:val="32"/>
          <w:szCs w:val="32"/>
          <w:highlight w:val="yellow"/>
          <w:lang w:val="en-US" w:eastAsia="zh-CN"/>
        </w:rPr>
      </w:pPr>
      <w:r>
        <w:rPr>
          <w:rFonts w:hint="default" w:ascii="Times New Roman" w:hAnsi="Times New Roman" w:eastAsia="楷体_GB2312" w:cs="Times New Roman"/>
          <w:b/>
          <w:bCs/>
          <w:color w:val="auto"/>
          <w:sz w:val="32"/>
          <w:szCs w:val="32"/>
          <w:lang w:val="en-US" w:eastAsia="zh-CN"/>
        </w:rPr>
        <w:t>（五）</w:t>
      </w:r>
      <w:r>
        <w:rPr>
          <w:rFonts w:hint="default" w:ascii="Times New Roman" w:hAnsi="Times New Roman" w:eastAsia="楷体" w:cs="Times New Roman"/>
          <w:b/>
          <w:bCs/>
          <w:color w:val="auto"/>
          <w:sz w:val="32"/>
          <w:szCs w:val="32"/>
          <w:highlight w:val="none"/>
          <w:lang w:val="en-US" w:eastAsia="zh-CN"/>
        </w:rPr>
        <w:t>推动城乡协调发展，缩小城乡发展差距</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1.全力</w:t>
      </w:r>
      <w:r>
        <w:rPr>
          <w:rFonts w:hint="default" w:ascii="Times New Roman" w:hAnsi="Times New Roman" w:eastAsia="仿宋_GB2312" w:cs="Times New Roman"/>
          <w:b/>
          <w:bCs/>
          <w:color w:val="auto"/>
          <w:sz w:val="32"/>
          <w:szCs w:val="32"/>
          <w:lang w:val="en-US" w:eastAsia="zh-CN"/>
        </w:rPr>
        <w:t>推动城区强芯提质</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加快</w:t>
      </w:r>
      <w:r>
        <w:rPr>
          <w:rFonts w:hint="default" w:ascii="Times New Roman" w:hAnsi="Times New Roman" w:eastAsia="仿宋_GB2312" w:cs="Times New Roman"/>
          <w:b w:val="0"/>
          <w:bCs w:val="0"/>
          <w:color w:val="auto"/>
          <w:sz w:val="32"/>
          <w:szCs w:val="32"/>
          <w:lang w:eastAsia="zh-CN"/>
        </w:rPr>
        <w:t>推进遂城镇行政区域调整。</w:t>
      </w:r>
      <w:r>
        <w:rPr>
          <w:rFonts w:hint="default" w:ascii="Times New Roman" w:hAnsi="Times New Roman" w:eastAsia="仿宋_GB2312" w:cs="Times New Roman"/>
          <w:b w:val="0"/>
          <w:bCs w:val="0"/>
          <w:color w:val="auto"/>
          <w:sz w:val="32"/>
          <w:szCs w:val="32"/>
          <w:lang w:val="en-US" w:eastAsia="zh-CN"/>
        </w:rPr>
        <w:t>扎实</w:t>
      </w:r>
      <w:r>
        <w:rPr>
          <w:rFonts w:hint="default" w:ascii="Times New Roman" w:hAnsi="Times New Roman" w:eastAsia="仿宋_GB2312" w:cs="Times New Roman"/>
          <w:color w:val="auto"/>
          <w:sz w:val="32"/>
          <w:szCs w:val="32"/>
          <w:highlight w:val="none"/>
        </w:rPr>
        <w:t>推进遂城镇老旧小区改造项目</w:t>
      </w:r>
      <w:r>
        <w:rPr>
          <w:rFonts w:hint="default" w:ascii="Times New Roman" w:hAnsi="Times New Roman" w:eastAsia="仿宋_GB2312" w:cs="Times New Roman"/>
          <w:color w:val="auto"/>
          <w:sz w:val="32"/>
          <w:szCs w:val="32"/>
          <w:highlight w:val="none"/>
          <w:lang w:eastAsia="zh-CN"/>
        </w:rPr>
        <w:t>。加快筹建全域覆盖、全网融合、全局可视的遂溪智慧城市实体指挥中心，以“一网统管”提升城市治理效能。深入实施城市光亮工程，</w:t>
      </w:r>
      <w:r>
        <w:rPr>
          <w:rFonts w:hint="default" w:ascii="Times New Roman" w:hAnsi="Times New Roman" w:eastAsia="仿宋_GB2312" w:cs="Times New Roman"/>
          <w:color w:val="auto"/>
          <w:sz w:val="32"/>
          <w:szCs w:val="32"/>
          <w:highlight w:val="none"/>
          <w:lang w:val="en-US" w:eastAsia="zh-CN"/>
        </w:rPr>
        <w:t>升级改造</w:t>
      </w:r>
      <w:r>
        <w:rPr>
          <w:rFonts w:hint="default" w:ascii="Times New Roman" w:hAnsi="Times New Roman" w:eastAsia="仿宋_GB2312" w:cs="Times New Roman"/>
          <w:color w:val="auto"/>
          <w:sz w:val="32"/>
          <w:szCs w:val="32"/>
          <w:highlight w:val="none"/>
          <w:lang w:eastAsia="zh-CN"/>
        </w:rPr>
        <w:t>城南、西溪、中山社区和文仓路等路灯。大力实施城市绿化工程，推进运河西路香江新城对面河堤段绿化改造、七里塘棚户区绿化工程。</w:t>
      </w:r>
      <w:r>
        <w:rPr>
          <w:rFonts w:hint="default" w:ascii="Times New Roman" w:hAnsi="Times New Roman" w:eastAsia="仿宋_GB2312" w:cs="Times New Roman"/>
          <w:color w:val="auto"/>
          <w:sz w:val="32"/>
          <w:szCs w:val="32"/>
          <w:highlight w:val="none"/>
        </w:rPr>
        <w:t>进一步深化创文工作，</w:t>
      </w:r>
      <w:r>
        <w:rPr>
          <w:rFonts w:hint="default" w:ascii="Times New Roman" w:hAnsi="Times New Roman" w:eastAsia="仿宋_GB2312" w:cs="Times New Roman"/>
          <w:color w:val="auto"/>
          <w:sz w:val="32"/>
          <w:szCs w:val="32"/>
          <w:highlight w:val="none"/>
          <w:lang w:val="en-US" w:eastAsia="zh-CN"/>
        </w:rPr>
        <w:t>强力整治</w:t>
      </w:r>
      <w:r>
        <w:rPr>
          <w:rFonts w:hint="default" w:ascii="Times New Roman" w:hAnsi="Times New Roman" w:eastAsia="仿宋_GB2312" w:cs="Times New Roman"/>
          <w:color w:val="auto"/>
          <w:sz w:val="32"/>
          <w:szCs w:val="32"/>
          <w:highlight w:val="none"/>
        </w:rPr>
        <w:t>县城“六乱”</w:t>
      </w:r>
      <w:r>
        <w:rPr>
          <w:rFonts w:hint="default" w:ascii="Times New Roman" w:hAnsi="Times New Roman" w:eastAsia="仿宋_GB2312" w:cs="Times New Roman"/>
          <w:color w:val="auto"/>
          <w:sz w:val="32"/>
          <w:szCs w:val="32"/>
          <w:highlight w:val="none"/>
          <w:lang w:val="en-US" w:eastAsia="zh-CN"/>
        </w:rPr>
        <w:t>和</w:t>
      </w:r>
      <w:r>
        <w:rPr>
          <w:rFonts w:hint="default" w:ascii="Times New Roman" w:hAnsi="Times New Roman" w:eastAsia="仿宋_GB2312" w:cs="Times New Roman"/>
          <w:color w:val="auto"/>
          <w:sz w:val="32"/>
          <w:szCs w:val="32"/>
          <w:highlight w:val="none"/>
        </w:rPr>
        <w:t>违建现象，</w:t>
      </w:r>
      <w:r>
        <w:rPr>
          <w:rFonts w:hint="default" w:ascii="Times New Roman" w:hAnsi="Times New Roman" w:eastAsia="仿宋_GB2312" w:cs="Times New Roman"/>
          <w:color w:val="auto"/>
          <w:sz w:val="32"/>
          <w:szCs w:val="32"/>
          <w:highlight w:val="none"/>
          <w:lang w:val="en-US" w:eastAsia="zh-CN"/>
        </w:rPr>
        <w:t>落实</w:t>
      </w:r>
      <w:r>
        <w:rPr>
          <w:rFonts w:hint="default" w:ascii="Times New Roman" w:hAnsi="Times New Roman" w:eastAsia="仿宋_GB2312" w:cs="Times New Roman"/>
          <w:color w:val="auto"/>
          <w:sz w:val="32"/>
          <w:szCs w:val="32"/>
          <w:highlight w:val="none"/>
        </w:rPr>
        <w:t>“门前三包”制度，打造文明有序的城市形象</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color w:val="auto"/>
          <w:sz w:val="32"/>
          <w:szCs w:val="32"/>
          <w:highlight w:val="yellow"/>
          <w:lang w:val="en-US" w:eastAsia="zh-CN"/>
        </w:rPr>
      </w:pPr>
      <w:r>
        <w:rPr>
          <w:rFonts w:hint="default" w:ascii="Times New Roman" w:hAnsi="Times New Roman" w:eastAsia="楷体_GB2312" w:cs="Times New Roman"/>
          <w:b/>
          <w:bCs/>
          <w:color w:val="auto"/>
          <w:sz w:val="32"/>
          <w:szCs w:val="32"/>
          <w:lang w:val="en-US" w:eastAsia="zh-CN"/>
        </w:rPr>
        <w:t>2.</w:t>
      </w:r>
      <w:r>
        <w:rPr>
          <w:rFonts w:hint="default" w:ascii="Times New Roman" w:hAnsi="Times New Roman" w:eastAsia="仿宋_GB2312" w:cs="Times New Roman"/>
          <w:b/>
          <w:bCs/>
          <w:color w:val="auto"/>
          <w:sz w:val="32"/>
          <w:szCs w:val="32"/>
          <w:highlight w:val="none"/>
          <w:lang w:val="en-US" w:eastAsia="zh-CN"/>
        </w:rPr>
        <w:t>深入</w:t>
      </w:r>
      <w:r>
        <w:rPr>
          <w:rFonts w:hint="default" w:ascii="Times New Roman" w:hAnsi="Times New Roman" w:eastAsia="仿宋_GB2312" w:cs="Times New Roman"/>
          <w:b/>
          <w:bCs/>
          <w:color w:val="auto"/>
          <w:sz w:val="32"/>
          <w:szCs w:val="32"/>
          <w:highlight w:val="none"/>
          <w:lang w:eastAsia="zh-CN"/>
        </w:rPr>
        <w:t>实施乡村振兴战略。</w:t>
      </w:r>
      <w:r>
        <w:rPr>
          <w:rFonts w:hint="default" w:ascii="Times New Roman" w:hAnsi="Times New Roman" w:eastAsia="仿宋_GB2312" w:cs="Times New Roman"/>
          <w:b w:val="0"/>
          <w:bCs w:val="0"/>
          <w:color w:val="auto"/>
          <w:sz w:val="32"/>
          <w:szCs w:val="32"/>
          <w:highlight w:val="none"/>
          <w:lang w:eastAsia="zh-CN"/>
        </w:rPr>
        <w:t>深入实施农村人居环境整治提升五年行动，</w:t>
      </w:r>
      <w:r>
        <w:rPr>
          <w:rFonts w:hint="default" w:ascii="Times New Roman" w:hAnsi="Times New Roman" w:eastAsia="仿宋_GB2312" w:cs="Times New Roman"/>
          <w:b w:val="0"/>
          <w:bCs w:val="0"/>
          <w:color w:val="auto"/>
          <w:sz w:val="32"/>
          <w:szCs w:val="32"/>
          <w:highlight w:val="none"/>
          <w:lang w:val="en-US" w:eastAsia="zh-CN"/>
        </w:rPr>
        <w:t>持续改善农村人居环境。统筹推进农村生活垃圾、污水、厕所“三大革命”，全面完成问题厕所整改，实现自然村生活污水治理全覆盖。</w:t>
      </w:r>
      <w:r>
        <w:rPr>
          <w:rFonts w:hint="default" w:ascii="Times New Roman" w:hAnsi="Times New Roman" w:eastAsia="仿宋_GB2312" w:cs="Times New Roman"/>
          <w:b w:val="0"/>
          <w:bCs w:val="0"/>
          <w:color w:val="auto"/>
          <w:sz w:val="32"/>
          <w:szCs w:val="32"/>
          <w:highlight w:val="none"/>
          <w:lang w:eastAsia="zh-CN"/>
        </w:rPr>
        <w:t>重点推动全县45条自然村先行先试开展乡村治理数字化管理。深化“千村示范、万村整治”工程，持续打造</w:t>
      </w:r>
      <w:r>
        <w:rPr>
          <w:rFonts w:hint="default" w:ascii="Times New Roman" w:hAnsi="Times New Roman" w:eastAsia="仿宋_GB2312" w:cs="Times New Roman"/>
          <w:b w:val="0"/>
          <w:bCs w:val="0"/>
          <w:color w:val="auto"/>
          <w:sz w:val="32"/>
          <w:szCs w:val="32"/>
          <w:highlight w:val="none"/>
          <w:lang w:val="en-US" w:eastAsia="zh-CN"/>
        </w:rPr>
        <w:t>35</w:t>
      </w:r>
      <w:r>
        <w:rPr>
          <w:rFonts w:hint="default" w:ascii="Times New Roman" w:hAnsi="Times New Roman" w:eastAsia="仿宋_GB2312" w:cs="Times New Roman"/>
          <w:b w:val="0"/>
          <w:bCs w:val="0"/>
          <w:color w:val="auto"/>
          <w:sz w:val="32"/>
          <w:szCs w:val="32"/>
          <w:highlight w:val="none"/>
          <w:lang w:eastAsia="zh-CN"/>
        </w:rPr>
        <w:t>条县级美丽宜居示范村和下洋村市级美丽宜居示范村。加快农房管控和乡村风貌提升示范带建设，打造</w:t>
      </w: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eastAsia="仿宋_GB2312" w:cs="Times New Roman"/>
          <w:b w:val="0"/>
          <w:bCs w:val="0"/>
          <w:color w:val="auto"/>
          <w:sz w:val="32"/>
          <w:szCs w:val="32"/>
          <w:highlight w:val="none"/>
          <w:lang w:eastAsia="zh-CN"/>
        </w:rPr>
        <w:t>条岭南特色农村建筑风貌示范带，支持各镇建设</w:t>
      </w:r>
      <w:r>
        <w:rPr>
          <w:rFonts w:hint="default" w:ascii="Times New Roman" w:hAnsi="Times New Roman" w:eastAsia="仿宋_GB2312" w:cs="Times New Roman"/>
          <w:b w:val="0"/>
          <w:bCs w:val="0"/>
          <w:color w:val="auto"/>
          <w:sz w:val="32"/>
          <w:szCs w:val="32"/>
          <w:highlight w:val="none"/>
          <w:lang w:val="en-US" w:eastAsia="zh-CN"/>
        </w:rPr>
        <w:t>1-2</w:t>
      </w:r>
      <w:r>
        <w:rPr>
          <w:rFonts w:hint="default" w:ascii="Times New Roman" w:hAnsi="Times New Roman" w:eastAsia="仿宋_GB2312" w:cs="Times New Roman"/>
          <w:b w:val="0"/>
          <w:bCs w:val="0"/>
          <w:color w:val="auto"/>
          <w:sz w:val="32"/>
          <w:szCs w:val="32"/>
          <w:highlight w:val="none"/>
          <w:lang w:eastAsia="zh-CN"/>
        </w:rPr>
        <w:t>条乡村风貌提升示范片，以点带面连线成片打造一批精美乡村。大力推进驻镇帮镇扶村，深入开展“百企兴百村”行动，加强防止返贫动态监测和常态化帮扶，持续巩固拓展脱贫攻坚成果。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楷体" w:cs="Times New Roman"/>
          <w:b/>
          <w:bCs/>
          <w:color w:val="auto"/>
          <w:sz w:val="32"/>
          <w:szCs w:val="32"/>
          <w:lang w:val="en-US" w:eastAsia="zh-CN"/>
        </w:rPr>
      </w:pPr>
      <w:r>
        <w:rPr>
          <w:rFonts w:hint="default" w:ascii="Times New Roman" w:hAnsi="Times New Roman" w:eastAsia="楷体" w:cs="Times New Roman"/>
          <w:b/>
          <w:bCs/>
          <w:color w:val="auto"/>
          <w:sz w:val="32"/>
          <w:szCs w:val="32"/>
          <w:lang w:val="en-US" w:eastAsia="zh-CN"/>
        </w:rPr>
        <w:t>（六）深化对外开放合作，持续提升营商环境</w:t>
      </w:r>
    </w:p>
    <w:p>
      <w:pPr>
        <w:pStyle w:val="8"/>
        <w:keepNext w:val="0"/>
        <w:keepLines w:val="0"/>
        <w:pageBreakBefore w:val="0"/>
        <w:widowControl w:val="0"/>
        <w:kinsoku/>
        <w:wordWrap/>
        <w:overflowPunct/>
        <w:topLinePunct w:val="0"/>
        <w:autoSpaceDE/>
        <w:bidi w:val="0"/>
        <w:adjustRightInd/>
        <w:snapToGrid/>
        <w:spacing w:line="560" w:lineRule="exact"/>
        <w:ind w:left="0" w:leftChars="0" w:firstLine="643"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持续扩大</w:t>
      </w:r>
      <w:r>
        <w:rPr>
          <w:rFonts w:hint="default" w:ascii="Times New Roman" w:hAnsi="Times New Roman" w:eastAsia="仿宋_GB2312" w:cs="Times New Roman"/>
          <w:b/>
          <w:bCs/>
          <w:sz w:val="32"/>
          <w:szCs w:val="32"/>
        </w:rPr>
        <w:t>对外开放</w:t>
      </w:r>
      <w:r>
        <w:rPr>
          <w:rFonts w:hint="default" w:ascii="Times New Roman" w:hAnsi="Times New Roman" w:eastAsia="仿宋_GB2312" w:cs="Times New Roman"/>
          <w:b/>
          <w:bCs/>
          <w:sz w:val="32"/>
          <w:szCs w:val="32"/>
          <w:lang w:val="en-US" w:eastAsia="zh-CN"/>
        </w:rPr>
        <w:t>合作</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b w:val="0"/>
          <w:bCs w:val="0"/>
          <w:sz w:val="32"/>
          <w:szCs w:val="32"/>
          <w:highlight w:val="none"/>
        </w:rPr>
        <w:t>加强与粤港澳大湾区、海南自贸</w:t>
      </w:r>
      <w:r>
        <w:rPr>
          <w:rFonts w:hint="default" w:ascii="Times New Roman" w:hAnsi="Times New Roman" w:eastAsia="仿宋_GB2312" w:cs="Times New Roman"/>
          <w:b w:val="0"/>
          <w:bCs w:val="0"/>
          <w:sz w:val="32"/>
          <w:szCs w:val="32"/>
          <w:highlight w:val="none"/>
          <w:lang w:val="en-US" w:eastAsia="zh-CN"/>
        </w:rPr>
        <w:t>港</w:t>
      </w:r>
      <w:r>
        <w:rPr>
          <w:rFonts w:hint="default" w:ascii="Times New Roman" w:hAnsi="Times New Roman" w:eastAsia="仿宋_GB2312" w:cs="Times New Roman"/>
          <w:b w:val="0"/>
          <w:bCs w:val="0"/>
          <w:sz w:val="32"/>
          <w:szCs w:val="32"/>
          <w:highlight w:val="none"/>
        </w:rPr>
        <w:t>合作，围绕生态工业、现代农业、文化旅游、商贸物流、</w:t>
      </w:r>
      <w:r>
        <w:rPr>
          <w:rFonts w:hint="default" w:ascii="Times New Roman" w:hAnsi="Times New Roman" w:eastAsia="仿宋_GB2312" w:cs="Times New Roman"/>
          <w:b w:val="0"/>
          <w:bCs w:val="0"/>
          <w:sz w:val="32"/>
          <w:szCs w:val="32"/>
          <w:highlight w:val="none"/>
          <w:lang w:val="en-US" w:eastAsia="zh-CN"/>
        </w:rPr>
        <w:t>清洁能源</w:t>
      </w:r>
      <w:r>
        <w:rPr>
          <w:rFonts w:hint="default" w:ascii="Times New Roman" w:hAnsi="Times New Roman" w:eastAsia="仿宋_GB2312" w:cs="Times New Roman"/>
          <w:b w:val="0"/>
          <w:bCs w:val="0"/>
          <w:sz w:val="32"/>
          <w:szCs w:val="32"/>
          <w:highlight w:val="none"/>
        </w:rPr>
        <w:t>等</w:t>
      </w:r>
      <w:r>
        <w:rPr>
          <w:rFonts w:hint="default" w:ascii="Times New Roman" w:hAnsi="Times New Roman" w:eastAsia="仿宋_GB2312" w:cs="Times New Roman"/>
          <w:b w:val="0"/>
          <w:bCs w:val="0"/>
          <w:sz w:val="32"/>
          <w:szCs w:val="32"/>
          <w:highlight w:val="none"/>
          <w:lang w:val="en-US" w:eastAsia="zh-CN"/>
        </w:rPr>
        <w:t>重点</w:t>
      </w:r>
      <w:r>
        <w:rPr>
          <w:rFonts w:hint="default" w:ascii="Times New Roman" w:hAnsi="Times New Roman" w:eastAsia="仿宋_GB2312" w:cs="Times New Roman"/>
          <w:b w:val="0"/>
          <w:bCs w:val="0"/>
          <w:sz w:val="32"/>
          <w:szCs w:val="32"/>
          <w:highlight w:val="none"/>
        </w:rPr>
        <w:t>产业开展定向招商，引进一批优质项目落户。强化农业对外合作交流，延续粤陕、粤黑结对合作模式，筹备举办“南果北上，北果南下”系列活动</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加强</w:t>
      </w:r>
      <w:r>
        <w:rPr>
          <w:rFonts w:hint="default" w:ascii="Times New Roman" w:hAnsi="Times New Roman" w:eastAsia="仿宋_GB2312" w:cs="Times New Roman"/>
          <w:b w:val="0"/>
          <w:bCs w:val="0"/>
          <w:sz w:val="32"/>
          <w:szCs w:val="32"/>
          <w:highlight w:val="none"/>
        </w:rPr>
        <w:t>与“RCEP”（区域全面经济伙伴关系协定）成员国、“一带一路”沿线国家和地区开展经贸合作，将</w:t>
      </w:r>
      <w:r>
        <w:rPr>
          <w:rFonts w:hint="default" w:ascii="Times New Roman" w:hAnsi="Times New Roman" w:eastAsia="仿宋_GB2312" w:cs="Times New Roman"/>
          <w:b w:val="0"/>
          <w:bCs w:val="0"/>
          <w:sz w:val="32"/>
          <w:szCs w:val="32"/>
          <w:highlight w:val="none"/>
          <w:lang w:val="en-US" w:eastAsia="zh-CN"/>
        </w:rPr>
        <w:t>遂溪县</w:t>
      </w:r>
      <w:r>
        <w:rPr>
          <w:rFonts w:hint="default" w:ascii="Times New Roman" w:hAnsi="Times New Roman" w:eastAsia="仿宋_GB2312" w:cs="Times New Roman"/>
          <w:b w:val="0"/>
          <w:bCs w:val="0"/>
          <w:sz w:val="32"/>
          <w:szCs w:val="32"/>
          <w:highlight w:val="none"/>
        </w:rPr>
        <w:t>优势产业和支柱产品对接服务</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鼓励企业充分利用各种电商平台、粤贸全球平台、展销展会等线上线下渠道，积极开拓国际市场。</w:t>
      </w:r>
      <w:r>
        <w:rPr>
          <w:rFonts w:hint="default" w:ascii="Times New Roman" w:hAnsi="Times New Roman" w:eastAsia="仿宋_GB2312" w:cs="Times New Roman"/>
          <w:b w:val="0"/>
          <w:bCs w:val="0"/>
          <w:sz w:val="32"/>
          <w:szCs w:val="32"/>
          <w:highlight w:val="none"/>
          <w:lang w:val="en-US" w:eastAsia="zh-CN"/>
        </w:rPr>
        <w:t>加快</w:t>
      </w:r>
      <w:r>
        <w:rPr>
          <w:rFonts w:hint="default" w:ascii="Times New Roman" w:hAnsi="Times New Roman" w:eastAsia="仿宋_GB2312" w:cs="Times New Roman"/>
          <w:b w:val="0"/>
          <w:bCs w:val="0"/>
          <w:sz w:val="32"/>
          <w:szCs w:val="32"/>
          <w:highlight w:val="none"/>
        </w:rPr>
        <w:t>建设</w:t>
      </w:r>
      <w:r>
        <w:rPr>
          <w:rFonts w:hint="default" w:ascii="Times New Roman" w:hAnsi="Times New Roman" w:eastAsia="仿宋_GB2312" w:cs="Times New Roman"/>
          <w:b w:val="0"/>
          <w:bCs w:val="0"/>
          <w:sz w:val="32"/>
          <w:szCs w:val="32"/>
          <w:highlight w:val="none"/>
          <w:lang w:val="en-US" w:eastAsia="zh-CN"/>
        </w:rPr>
        <w:t>完善</w:t>
      </w:r>
      <w:r>
        <w:rPr>
          <w:rFonts w:hint="default" w:ascii="Times New Roman" w:hAnsi="Times New Roman" w:eastAsia="仿宋_GB2312" w:cs="Times New Roman"/>
          <w:b w:val="0"/>
          <w:bCs w:val="0"/>
          <w:sz w:val="32"/>
          <w:szCs w:val="32"/>
          <w:highlight w:val="none"/>
        </w:rPr>
        <w:t>广东北部湾农产品流通综合示范区项目</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持续推动</w:t>
      </w:r>
      <w:r>
        <w:rPr>
          <w:rFonts w:hint="default" w:ascii="Times New Roman" w:hAnsi="Times New Roman" w:eastAsia="仿宋_GB2312" w:cs="Times New Roman"/>
          <w:b w:val="0"/>
          <w:bCs w:val="0"/>
          <w:sz w:val="32"/>
          <w:szCs w:val="32"/>
          <w:highlight w:val="none"/>
        </w:rPr>
        <w:t>中国广东（遂溪）香蕉国际交易中心建设。持续深化遂融东西部协作，推动两地实现共享发展。</w:t>
      </w:r>
    </w:p>
    <w:p>
      <w:pPr>
        <w:keepNext w:val="0"/>
        <w:keepLines w:val="0"/>
        <w:pageBreakBefore w:val="0"/>
        <w:widowControl w:val="0"/>
        <w:kinsoku/>
        <w:wordWrap/>
        <w:overflowPunct/>
        <w:topLinePunct w:val="0"/>
        <w:autoSpaceDE/>
        <w:bidi w:val="0"/>
        <w:adjustRightInd/>
        <w:snapToGrid/>
        <w:spacing w:line="560" w:lineRule="exact"/>
        <w:ind w:right="0" w:rightChars="0" w:firstLine="643" w:firstLineChars="200"/>
        <w:textAlignment w:val="auto"/>
        <w:outlineLvl w:val="9"/>
        <w:rPr>
          <w:rFonts w:hint="default" w:ascii="Times New Roman" w:hAnsi="Times New Roman" w:cs="Times New Roman"/>
          <w:sz w:val="32"/>
          <w:szCs w:val="32"/>
          <w:highlight w:val="yellow"/>
          <w:lang w:val="en-US" w:eastAsia="zh-CN"/>
        </w:rPr>
      </w:pPr>
      <w:r>
        <w:rPr>
          <w:rFonts w:hint="default" w:ascii="Times New Roman" w:hAnsi="Times New Roman" w:eastAsia="仿宋_GB2312" w:cs="Times New Roman"/>
          <w:b/>
          <w:bCs/>
          <w:sz w:val="32"/>
          <w:szCs w:val="32"/>
          <w:highlight w:val="none"/>
          <w:lang w:val="en-US" w:eastAsia="zh-CN"/>
        </w:rPr>
        <w:t>2.持续优化提升营商环境</w:t>
      </w:r>
      <w:r>
        <w:rPr>
          <w:rFonts w:hint="default" w:ascii="Times New Roman" w:hAnsi="Times New Roman" w:eastAsia="仿宋_GB2312" w:cs="Times New Roman"/>
          <w:b/>
          <w:bCs/>
          <w:sz w:val="32"/>
          <w:szCs w:val="32"/>
          <w:highlight w:val="none"/>
        </w:rPr>
        <w:t>。</w:t>
      </w:r>
      <w:r>
        <w:rPr>
          <w:rFonts w:hint="default" w:ascii="Times New Roman" w:hAnsi="Times New Roman" w:eastAsia="仿宋_GB2312" w:cs="Times New Roman"/>
          <w:sz w:val="32"/>
          <w:szCs w:val="32"/>
          <w:highlight w:val="none"/>
        </w:rPr>
        <w:t>持续深化营商环境综合改革，出台营商环境优化行动2022年行动计划，加快打造市场化、法治化、国际化营商环境。</w:t>
      </w:r>
      <w:r>
        <w:rPr>
          <w:rFonts w:hint="default" w:ascii="Times New Roman" w:hAnsi="Times New Roman" w:eastAsia="仿宋_GB2312" w:cs="Times New Roman"/>
          <w:sz w:val="32"/>
          <w:szCs w:val="32"/>
          <w:highlight w:val="none"/>
          <w:lang w:val="en-US" w:eastAsia="zh-CN"/>
        </w:rPr>
        <w:t>加快数字政府建设，进一步推进政务服务标准化、规范化、便利化，推动更多政务服务事项“省内通办、跨省通办”“网上办、掌上办、就近办、一次办、免证办”，完善无差别或分领域综合办事窗口，实现“一窗受理、综合服务”</w:t>
      </w:r>
      <w:r>
        <w:rPr>
          <w:rFonts w:hint="default" w:ascii="Times New Roman" w:hAnsi="Times New Roman" w:eastAsia="仿宋_GB2312" w:cs="Times New Roman"/>
          <w:sz w:val="32"/>
          <w:szCs w:val="32"/>
          <w:highlight w:val="none"/>
        </w:rPr>
        <w:t>。加强社会信用体系建设，创建公平竞争的市场环境。优化民营经济发展环境，抓好惠企政策落地。大力推广应用“中小融”平台，缓解中小企业融资难题。</w:t>
      </w:r>
    </w:p>
    <w:p>
      <w:pPr>
        <w:keepNext w:val="0"/>
        <w:keepLines w:val="0"/>
        <w:pageBreakBefore w:val="0"/>
        <w:widowControl w:val="0"/>
        <w:kinsoku/>
        <w:wordWrap/>
        <w:overflowPunct/>
        <w:topLinePunct w:val="0"/>
        <w:autoSpaceDE/>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val="en-US" w:eastAsia="zh-CN"/>
        </w:rPr>
        <w:t>七</w:t>
      </w:r>
      <w:r>
        <w:rPr>
          <w:rFonts w:hint="default" w:ascii="Times New Roman" w:hAnsi="Times New Roman" w:eastAsia="楷体" w:cs="Times New Roman"/>
          <w:b/>
          <w:bCs/>
          <w:sz w:val="32"/>
          <w:szCs w:val="32"/>
        </w:rPr>
        <w:t>）加强生态文明创建</w:t>
      </w:r>
      <w:r>
        <w:rPr>
          <w:rFonts w:hint="default" w:ascii="Times New Roman" w:hAnsi="Times New Roman" w:eastAsia="楷体" w:cs="Times New Roman"/>
          <w:b/>
          <w:bCs/>
          <w:sz w:val="32"/>
          <w:szCs w:val="32"/>
          <w:lang w:eastAsia="zh-CN"/>
        </w:rPr>
        <w:t>，</w:t>
      </w:r>
      <w:r>
        <w:rPr>
          <w:rFonts w:hint="default" w:ascii="Times New Roman" w:hAnsi="Times New Roman" w:eastAsia="楷体" w:cs="Times New Roman"/>
          <w:b/>
          <w:bCs/>
          <w:sz w:val="32"/>
          <w:szCs w:val="32"/>
          <w:lang w:val="en-US" w:eastAsia="zh-CN"/>
        </w:rPr>
        <w:t>推动绿色低碳发展</w:t>
      </w:r>
    </w:p>
    <w:p>
      <w:pPr>
        <w:keepNext w:val="0"/>
        <w:keepLines w:val="0"/>
        <w:pageBreakBefore w:val="0"/>
        <w:widowControl w:val="0"/>
        <w:kinsoku/>
        <w:wordWrap/>
        <w:overflowPunct/>
        <w:topLinePunct w:val="0"/>
        <w:autoSpaceDE/>
        <w:bidi w:val="0"/>
        <w:adjustRightInd/>
        <w:snapToGrid/>
        <w:spacing w:line="560" w:lineRule="exact"/>
        <w:ind w:firstLine="643" w:firstLineChars="200"/>
        <w:textAlignment w:val="auto"/>
        <w:rPr>
          <w:rFonts w:hint="default" w:ascii="Times New Roman" w:hAnsi="Times New Roman" w:eastAsia="仿宋_GB2312" w:cs="Times New Roman"/>
          <w:sz w:val="32"/>
          <w:szCs w:val="32"/>
          <w:highlight w:val="yellow"/>
        </w:rPr>
      </w:pPr>
      <w:r>
        <w:rPr>
          <w:rFonts w:hint="default" w:ascii="Times New Roman" w:hAnsi="Times New Roman" w:eastAsia="仿宋_GB2312" w:cs="Times New Roman"/>
          <w:b/>
          <w:bCs/>
          <w:sz w:val="32"/>
          <w:szCs w:val="32"/>
        </w:rPr>
        <w:t>1.深入打好污染防治攻坚战。</w:t>
      </w:r>
      <w:r>
        <w:rPr>
          <w:rFonts w:hint="default" w:ascii="Times New Roman" w:hAnsi="Times New Roman" w:eastAsia="仿宋_GB2312" w:cs="Times New Roman"/>
          <w:sz w:val="32"/>
          <w:szCs w:val="32"/>
          <w:highlight w:val="none"/>
        </w:rPr>
        <w:t>以第二轮中央生态环境保护督察</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发现问</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题整改</w:t>
      </w:r>
      <w:r>
        <w:rPr>
          <w:rFonts w:hint="default" w:ascii="Times New Roman" w:hAnsi="Times New Roman" w:eastAsia="仿宋_GB2312" w:cs="Times New Roman"/>
          <w:sz w:val="32"/>
          <w:szCs w:val="32"/>
          <w:highlight w:val="none"/>
        </w:rPr>
        <w:t>为契机，大力解决突出环境问题，建立完善长效监管机制，</w:t>
      </w:r>
      <w:r>
        <w:rPr>
          <w:rFonts w:hint="default" w:ascii="Times New Roman" w:hAnsi="Times New Roman" w:eastAsia="仿宋_GB2312" w:cs="Times New Roman"/>
          <w:sz w:val="32"/>
          <w:szCs w:val="32"/>
          <w:highlight w:val="none"/>
          <w:lang w:val="en-US" w:eastAsia="zh-CN"/>
        </w:rPr>
        <w:t>扎实做好</w:t>
      </w:r>
      <w:r>
        <w:rPr>
          <w:rFonts w:hint="default" w:ascii="Times New Roman" w:hAnsi="Times New Roman" w:eastAsia="仿宋_GB2312" w:cs="Times New Roman"/>
          <w:sz w:val="32"/>
          <w:szCs w:val="32"/>
          <w:highlight w:val="none"/>
        </w:rPr>
        <w:t>各类环保</w:t>
      </w:r>
      <w:r>
        <w:rPr>
          <w:rFonts w:hint="default" w:ascii="Times New Roman" w:hAnsi="Times New Roman" w:eastAsia="仿宋_GB2312" w:cs="Times New Roman"/>
          <w:sz w:val="32"/>
          <w:szCs w:val="32"/>
          <w:highlight w:val="none"/>
          <w:lang w:val="en-US" w:eastAsia="zh-CN"/>
        </w:rPr>
        <w:t>工作</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rPr>
        <w:t>全面做好工业、能源、建筑、交通、农业等领域的大气污染综合防治</w:t>
      </w:r>
      <w:r>
        <w:rPr>
          <w:rFonts w:hint="default"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w:t>
      </w:r>
      <w:r>
        <w:rPr>
          <w:rFonts w:hint="default" w:ascii="Times New Roman" w:hAnsi="Times New Roman" w:eastAsia="仿宋_GB2312" w:cs="Times New Roman"/>
          <w:b w:val="0"/>
          <w:bCs w:val="0"/>
          <w:sz w:val="32"/>
          <w:szCs w:val="32"/>
          <w:lang w:eastAsia="zh-CN"/>
        </w:rPr>
        <w:t>加快遂溪河流域水质提升工程建设，</w:t>
      </w:r>
      <w:r>
        <w:rPr>
          <w:rFonts w:hint="default" w:ascii="Times New Roman" w:hAnsi="Times New Roman" w:eastAsia="仿宋_GB2312" w:cs="Times New Roman"/>
          <w:color w:val="000000"/>
          <w:sz w:val="32"/>
          <w:szCs w:val="32"/>
        </w:rPr>
        <w:t>大力开展遂溪河控源截污严管严治行动</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切实</w:t>
      </w:r>
      <w:r>
        <w:rPr>
          <w:rFonts w:hint="default" w:ascii="Times New Roman" w:hAnsi="Times New Roman" w:eastAsia="仿宋_GB2312" w:cs="Times New Roman"/>
          <w:color w:val="000000"/>
          <w:sz w:val="32"/>
          <w:szCs w:val="32"/>
        </w:rPr>
        <w:t>巩固水源地整治成果，确保县级以上集中式饮用水水源地水质100%达标。</w:t>
      </w:r>
      <w:r>
        <w:rPr>
          <w:rFonts w:hint="default" w:ascii="Times New Roman" w:hAnsi="Times New Roman" w:eastAsia="仿宋_GB2312" w:cs="Times New Roman"/>
          <w:color w:val="auto"/>
          <w:sz w:val="32"/>
          <w:szCs w:val="32"/>
          <w:highlight w:val="none"/>
        </w:rPr>
        <w:t>加快推进国家级资源循环产业园、同畅环保科技船舶废物处理利用中心等危废处置项目建设。加快农村生活污水处理设施及配套管网建设，进一步提高生活污水集中处理率。</w:t>
      </w:r>
    </w:p>
    <w:p>
      <w:pPr>
        <w:keepNext w:val="0"/>
        <w:keepLines w:val="0"/>
        <w:pageBreakBefore w:val="0"/>
        <w:widowControl w:val="0"/>
        <w:kinsoku/>
        <w:wordWrap/>
        <w:overflowPunct/>
        <w:topLinePunct w:val="0"/>
        <w:autoSpaceDE/>
        <w:bidi w:val="0"/>
        <w:adjustRightInd/>
        <w:snapToGrid/>
        <w:spacing w:line="560" w:lineRule="exact"/>
        <w:ind w:firstLine="643"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bCs/>
          <w:sz w:val="32"/>
          <w:szCs w:val="32"/>
          <w:highlight w:val="none"/>
        </w:rPr>
        <w:t>2.</w:t>
      </w:r>
      <w:r>
        <w:rPr>
          <w:rFonts w:hint="default" w:ascii="Times New Roman" w:hAnsi="Times New Roman" w:eastAsia="仿宋_GB2312" w:cs="Times New Roman"/>
          <w:b/>
          <w:bCs/>
          <w:sz w:val="32"/>
          <w:szCs w:val="32"/>
        </w:rPr>
        <w:t>大力发展绿色</w:t>
      </w:r>
      <w:r>
        <w:rPr>
          <w:rFonts w:hint="default" w:ascii="Times New Roman" w:hAnsi="Times New Roman" w:eastAsia="仿宋_GB2312" w:cs="Times New Roman"/>
          <w:b/>
          <w:bCs/>
          <w:sz w:val="32"/>
          <w:szCs w:val="32"/>
          <w:lang w:eastAsia="zh-CN"/>
        </w:rPr>
        <w:t>低碳</w:t>
      </w:r>
      <w:r>
        <w:rPr>
          <w:rFonts w:hint="default" w:ascii="Times New Roman" w:hAnsi="Times New Roman" w:eastAsia="仿宋_GB2312" w:cs="Times New Roman"/>
          <w:b/>
          <w:bCs/>
          <w:sz w:val="32"/>
          <w:szCs w:val="32"/>
        </w:rPr>
        <w:t>经济。</w:t>
      </w:r>
      <w:r>
        <w:rPr>
          <w:rFonts w:hint="default" w:ascii="Times New Roman" w:hAnsi="Times New Roman" w:eastAsia="仿宋_GB2312" w:cs="Times New Roman"/>
          <w:b w:val="0"/>
          <w:bCs w:val="0"/>
          <w:sz w:val="32"/>
          <w:szCs w:val="32"/>
        </w:rPr>
        <w:t>落实碳达峰、碳中和战略，坚决遏制“两高”项目盲目发展，推进产业结构、能源结构、运输结构优化调整，加快淘汰落后产能，加快实现能耗“双控”向碳排放总量和强度“双控”转变。</w:t>
      </w:r>
      <w:r>
        <w:rPr>
          <w:rFonts w:hint="default" w:ascii="Times New Roman" w:hAnsi="Times New Roman" w:eastAsia="仿宋_GB2312" w:cs="Times New Roman"/>
          <w:b w:val="0"/>
          <w:bCs w:val="0"/>
          <w:sz w:val="32"/>
          <w:szCs w:val="32"/>
          <w:highlight w:val="none"/>
        </w:rPr>
        <w:t>加强节能技术研发、</w:t>
      </w:r>
      <w:r>
        <w:rPr>
          <w:rFonts w:hint="default" w:ascii="Times New Roman" w:hAnsi="Times New Roman" w:eastAsia="仿宋_GB2312" w:cs="Times New Roman"/>
          <w:b w:val="0"/>
          <w:bCs w:val="0"/>
          <w:sz w:val="32"/>
          <w:szCs w:val="32"/>
          <w:highlight w:val="none"/>
          <w:lang w:val="en-US" w:eastAsia="zh-CN"/>
        </w:rPr>
        <w:t>改造</w:t>
      </w:r>
      <w:r>
        <w:rPr>
          <w:rFonts w:hint="default" w:ascii="Times New Roman" w:hAnsi="Times New Roman" w:eastAsia="仿宋_GB2312" w:cs="Times New Roman"/>
          <w:b w:val="0"/>
          <w:bCs w:val="0"/>
          <w:sz w:val="32"/>
          <w:szCs w:val="32"/>
          <w:highlight w:val="none"/>
        </w:rPr>
        <w:t>、推广，持续挖掘节能减排潜力，加快发展绿色制造、绿色建筑、绿色交通、绿色照明等节能新技术新业态，加快推进传统高耗能行业绿色转型。全面推进清洁能源开发利用</w:t>
      </w:r>
      <w:r>
        <w:rPr>
          <w:rFonts w:hint="default" w:ascii="Times New Roman" w:hAnsi="Times New Roman" w:eastAsia="仿宋_GB2312" w:cs="Times New Roman"/>
          <w:b w:val="0"/>
          <w:bCs w:val="0"/>
          <w:sz w:val="32"/>
          <w:szCs w:val="32"/>
          <w:highlight w:val="none"/>
          <w:lang w:eastAsia="zh-CN"/>
        </w:rPr>
        <w:t>，推广屋顶分布式光伏建设，积极创建整县屋顶分布式开发示范县，加快推动</w:t>
      </w:r>
      <w:r>
        <w:rPr>
          <w:rFonts w:hint="default" w:ascii="Times New Roman" w:hAnsi="Times New Roman" w:eastAsia="仿宋_GB2312" w:cs="Times New Roman"/>
          <w:b w:val="0"/>
          <w:bCs w:val="0"/>
          <w:sz w:val="32"/>
          <w:szCs w:val="32"/>
          <w:highlight w:val="none"/>
          <w:lang w:val="en-US" w:eastAsia="zh-CN"/>
        </w:rPr>
        <w:t>遂溪县界炮镇150MW风力发电项目、遂溪县遂城镇200MW复合型光伏发电项目、遂溪城月15MW分散式风电项目等开工建设</w:t>
      </w:r>
      <w:r>
        <w:rPr>
          <w:rFonts w:hint="default" w:ascii="Times New Roman" w:hAnsi="Times New Roman" w:eastAsia="仿宋_GB2312" w:cs="Times New Roman"/>
          <w:b w:val="0"/>
          <w:bCs w:val="0"/>
          <w:sz w:val="32"/>
          <w:szCs w:val="32"/>
          <w:highlight w:val="none"/>
        </w:rPr>
        <w:t>。</w:t>
      </w:r>
    </w:p>
    <w:p>
      <w:pPr>
        <w:pStyle w:val="8"/>
        <w:keepNext w:val="0"/>
        <w:keepLines w:val="0"/>
        <w:pageBreakBefore w:val="0"/>
        <w:widowControl w:val="0"/>
        <w:kinsoku/>
        <w:wordWrap/>
        <w:overflowPunct/>
        <w:topLinePunct w:val="0"/>
        <w:autoSpaceDE/>
        <w:bidi w:val="0"/>
        <w:adjustRightInd/>
        <w:snapToGrid/>
        <w:spacing w:line="560" w:lineRule="exact"/>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val="en-US" w:eastAsia="zh-CN"/>
        </w:rPr>
        <w:t>八</w:t>
      </w: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val="en-US" w:eastAsia="zh-CN"/>
        </w:rPr>
        <w:t>全面发展社会事业</w:t>
      </w:r>
      <w:r>
        <w:rPr>
          <w:rFonts w:hint="default" w:ascii="Times New Roman" w:hAnsi="Times New Roman" w:eastAsia="楷体" w:cs="Times New Roman"/>
          <w:b/>
          <w:bCs/>
          <w:sz w:val="32"/>
          <w:szCs w:val="32"/>
          <w:lang w:eastAsia="zh-CN"/>
        </w:rPr>
        <w:t>，</w:t>
      </w:r>
      <w:r>
        <w:rPr>
          <w:rFonts w:hint="default" w:ascii="Times New Roman" w:hAnsi="Times New Roman" w:eastAsia="楷体" w:cs="Times New Roman"/>
          <w:b/>
          <w:bCs/>
          <w:sz w:val="32"/>
          <w:szCs w:val="32"/>
          <w:lang w:val="en-US" w:eastAsia="zh-CN"/>
        </w:rPr>
        <w:t>提高民生保障水平</w:t>
      </w:r>
    </w:p>
    <w:p>
      <w:pPr>
        <w:keepNext w:val="0"/>
        <w:keepLines w:val="0"/>
        <w:pageBreakBefore w:val="0"/>
        <w:widowControl w:val="0"/>
        <w:pBdr>
          <w:top w:val="none" w:color="000000" w:sz="0" w:space="0"/>
          <w:left w:val="none" w:color="000000" w:sz="0" w:space="0"/>
          <w:bottom w:val="none" w:color="000000" w:sz="0" w:space="31"/>
          <w:right w:val="none" w:color="000000" w:sz="0" w:space="0"/>
        </w:pBdr>
        <w:kinsoku/>
        <w:wordWrap/>
        <w:overflowPunct/>
        <w:topLinePunct w:val="0"/>
        <w:autoSpaceDE/>
        <w:autoSpaceDN w:val="0"/>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1.提升民生保障水平。</w:t>
      </w:r>
      <w:r>
        <w:rPr>
          <w:rFonts w:hint="default" w:ascii="Times New Roman" w:hAnsi="Times New Roman" w:eastAsia="仿宋_GB2312" w:cs="Times New Roman"/>
          <w:b w:val="0"/>
          <w:bCs w:val="0"/>
          <w:color w:val="auto"/>
          <w:sz w:val="32"/>
          <w:szCs w:val="32"/>
          <w:highlight w:val="none"/>
          <w:lang w:val="en-US" w:eastAsia="zh-CN"/>
        </w:rPr>
        <w:t>扎实办好十大民生实事。</w:t>
      </w:r>
      <w:r>
        <w:rPr>
          <w:rFonts w:hint="default" w:ascii="Times New Roman" w:hAnsi="Times New Roman" w:eastAsia="仿宋_GB2312" w:cs="Times New Roman"/>
          <w:color w:val="auto"/>
          <w:sz w:val="32"/>
          <w:szCs w:val="32"/>
          <w:highlight w:val="none"/>
          <w:lang w:val="en-US" w:eastAsia="zh-CN"/>
        </w:rPr>
        <w:t>全面落实稳就业工作，精准做好对高校毕业生、退役军人、失地农民、残疾人、就业困难人员等重点群体的就业创业帮扶。继续兜牢兜实困难群体基本生活保障。</w:t>
      </w:r>
      <w:r>
        <w:rPr>
          <w:rFonts w:hint="default" w:ascii="Times New Roman" w:hAnsi="Times New Roman" w:eastAsia="仿宋_GB2312" w:cs="Times New Roman"/>
          <w:color w:val="auto"/>
          <w:sz w:val="32"/>
          <w:szCs w:val="32"/>
          <w:highlight w:val="none"/>
        </w:rPr>
        <w:t>持续完善基本养老、失业、救助等社会</w:t>
      </w:r>
      <w:r>
        <w:rPr>
          <w:rFonts w:hint="default" w:ascii="Times New Roman" w:hAnsi="Times New Roman" w:eastAsia="仿宋_GB2312" w:cs="Times New Roman"/>
          <w:color w:val="auto"/>
          <w:sz w:val="32"/>
          <w:szCs w:val="32"/>
          <w:highlight w:val="none"/>
          <w:lang w:val="en-US" w:eastAsia="zh-CN"/>
        </w:rPr>
        <w:t>保障</w:t>
      </w:r>
      <w:r>
        <w:rPr>
          <w:rFonts w:hint="default" w:ascii="Times New Roman" w:hAnsi="Times New Roman" w:eastAsia="仿宋_GB2312" w:cs="Times New Roman"/>
          <w:color w:val="auto"/>
          <w:sz w:val="32"/>
          <w:szCs w:val="32"/>
          <w:highlight w:val="none"/>
        </w:rPr>
        <w:t>制度。全力做好</w:t>
      </w:r>
      <w:r>
        <w:rPr>
          <w:rFonts w:hint="default" w:ascii="Times New Roman" w:hAnsi="Times New Roman" w:eastAsia="仿宋_GB2312" w:cs="Times New Roman"/>
          <w:color w:val="auto"/>
          <w:sz w:val="32"/>
          <w:szCs w:val="32"/>
          <w:highlight w:val="none"/>
          <w:lang w:val="en-US" w:eastAsia="zh-CN"/>
        </w:rPr>
        <w:t>机关单位年金保障、</w:t>
      </w:r>
      <w:r>
        <w:rPr>
          <w:rFonts w:hint="default" w:ascii="Times New Roman" w:hAnsi="Times New Roman" w:eastAsia="仿宋_GB2312" w:cs="Times New Roman"/>
          <w:color w:val="auto"/>
          <w:sz w:val="32"/>
          <w:szCs w:val="32"/>
          <w:highlight w:val="none"/>
        </w:rPr>
        <w:t>城乡居民基本养老保险和医疗保险工作。</w:t>
      </w:r>
      <w:r>
        <w:rPr>
          <w:rFonts w:hint="default" w:ascii="Times New Roman" w:hAnsi="Times New Roman" w:eastAsia="仿宋_GB2312" w:cs="Times New Roman"/>
          <w:color w:val="auto"/>
          <w:sz w:val="32"/>
          <w:szCs w:val="32"/>
          <w:highlight w:val="none"/>
          <w:lang w:val="en-US" w:eastAsia="zh-CN"/>
        </w:rPr>
        <w:t>持续深入实施“粤菜师傅”“广东技工”“南粤家政”三项工程。</w:t>
      </w:r>
    </w:p>
    <w:p>
      <w:pPr>
        <w:keepNext w:val="0"/>
        <w:keepLines w:val="0"/>
        <w:pageBreakBefore w:val="0"/>
        <w:widowControl w:val="0"/>
        <w:pBdr>
          <w:top w:val="none" w:color="000000" w:sz="0" w:space="0"/>
          <w:left w:val="none" w:color="000000" w:sz="0" w:space="0"/>
          <w:bottom w:val="none" w:color="000000" w:sz="0" w:space="31"/>
          <w:right w:val="none" w:color="000000" w:sz="0" w:space="0"/>
        </w:pBdr>
        <w:kinsoku/>
        <w:wordWrap/>
        <w:overflowPunct/>
        <w:topLinePunct w:val="0"/>
        <w:autoSpaceDE/>
        <w:autoSpaceDN w:val="0"/>
        <w:bidi w:val="0"/>
        <w:adjustRightInd/>
        <w:snapToGrid/>
        <w:spacing w:line="560" w:lineRule="exact"/>
        <w:ind w:firstLine="643" w:firstLineChars="200"/>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val="en-US" w:eastAsia="zh-CN"/>
        </w:rPr>
        <w:t>2.健康发展</w:t>
      </w:r>
      <w:r>
        <w:rPr>
          <w:rFonts w:hint="default" w:ascii="Times New Roman" w:hAnsi="Times New Roman" w:eastAsia="仿宋_GB2312" w:cs="Times New Roman"/>
          <w:b/>
          <w:bCs/>
          <w:color w:val="auto"/>
          <w:sz w:val="32"/>
          <w:szCs w:val="32"/>
          <w:highlight w:val="none"/>
          <w:lang w:eastAsia="zh-CN"/>
        </w:rPr>
        <w:t>卫生事业。</w:t>
      </w:r>
      <w:r>
        <w:rPr>
          <w:rFonts w:hint="default" w:ascii="Times New Roman" w:hAnsi="Times New Roman" w:eastAsia="仿宋_GB2312" w:cs="Times New Roman"/>
          <w:b w:val="0"/>
          <w:bCs w:val="0"/>
          <w:color w:val="auto"/>
          <w:sz w:val="32"/>
          <w:szCs w:val="32"/>
          <w:highlight w:val="none"/>
          <w:lang w:eastAsia="zh-CN"/>
        </w:rPr>
        <w:t>毫不松懈抓好新冠疫情防控，慎终如始抓好外防输入工作。</w:t>
      </w:r>
      <w:r>
        <w:rPr>
          <w:rFonts w:hint="default" w:ascii="Times New Roman" w:hAnsi="Times New Roman" w:eastAsia="仿宋_GB2312" w:cs="Times New Roman"/>
          <w:b w:val="0"/>
          <w:bCs w:val="0"/>
          <w:color w:val="auto"/>
          <w:sz w:val="32"/>
          <w:szCs w:val="32"/>
          <w:highlight w:val="none"/>
          <w:lang w:val="en-US" w:eastAsia="zh-CN"/>
        </w:rPr>
        <w:t>推进县人民医院、县中医院、县妇幼保健院整体搬迁升级建设项目完工投入使用。加快</w:t>
      </w:r>
      <w:r>
        <w:rPr>
          <w:rFonts w:hint="default" w:ascii="Times New Roman" w:hAnsi="Times New Roman" w:eastAsia="仿宋_GB2312" w:cs="Times New Roman"/>
          <w:b w:val="0"/>
          <w:bCs w:val="0"/>
          <w:color w:val="auto"/>
          <w:sz w:val="32"/>
          <w:szCs w:val="32"/>
          <w:highlight w:val="none"/>
          <w:lang w:eastAsia="zh-CN"/>
        </w:rPr>
        <w:t>建设县公共卫生医院项目，提高公共卫生事件应急处置能力。加快推进紧密型县域医共体建设，全面提升医疗技术水平和医疗服务质量。</w:t>
      </w:r>
      <w:r>
        <w:rPr>
          <w:rFonts w:hint="default" w:ascii="Times New Roman" w:hAnsi="Times New Roman" w:eastAsia="仿宋_GB2312" w:cs="Times New Roman"/>
          <w:b w:val="0"/>
          <w:bCs w:val="0"/>
          <w:color w:val="auto"/>
          <w:sz w:val="32"/>
          <w:szCs w:val="32"/>
          <w:highlight w:val="none"/>
          <w:lang w:val="en-US" w:eastAsia="zh-CN"/>
        </w:rPr>
        <w:t>加快</w:t>
      </w:r>
      <w:r>
        <w:rPr>
          <w:rFonts w:hint="default" w:ascii="Times New Roman" w:hAnsi="Times New Roman" w:eastAsia="仿宋_GB2312" w:cs="Times New Roman"/>
          <w:b w:val="0"/>
          <w:bCs w:val="0"/>
          <w:color w:val="auto"/>
          <w:sz w:val="32"/>
          <w:szCs w:val="32"/>
          <w:highlight w:val="none"/>
          <w:lang w:eastAsia="zh-CN"/>
        </w:rPr>
        <w:t>提升慢性病防治能力、心理健康服务能力、“一老一少”照护服务能力、妇幼健康服务能力、</w:t>
      </w:r>
      <w:r>
        <w:rPr>
          <w:rFonts w:hint="default" w:ascii="Times New Roman" w:hAnsi="Times New Roman" w:eastAsia="仿宋_GB2312" w:cs="Times New Roman"/>
          <w:b w:val="0"/>
          <w:bCs w:val="0"/>
          <w:color w:val="auto"/>
          <w:sz w:val="32"/>
          <w:szCs w:val="32"/>
          <w:highlight w:val="none"/>
          <w:lang w:val="en-US" w:eastAsia="zh-CN"/>
        </w:rPr>
        <w:t>残疾人康复能力</w:t>
      </w:r>
      <w:r>
        <w:rPr>
          <w:rFonts w:hint="default" w:ascii="Times New Roman" w:hAnsi="Times New Roman" w:eastAsia="仿宋_GB2312" w:cs="Times New Roman"/>
          <w:b w:val="0"/>
          <w:bCs w:val="0"/>
          <w:color w:val="auto"/>
          <w:sz w:val="32"/>
          <w:szCs w:val="32"/>
          <w:highlight w:val="none"/>
          <w:lang w:eastAsia="zh-CN"/>
        </w:rPr>
        <w:t>和职业健康保护能力。</w:t>
      </w:r>
    </w:p>
    <w:p>
      <w:pPr>
        <w:keepNext w:val="0"/>
        <w:keepLines w:val="0"/>
        <w:pageBreakBefore w:val="0"/>
        <w:widowControl w:val="0"/>
        <w:pBdr>
          <w:top w:val="none" w:color="000000" w:sz="0" w:space="0"/>
          <w:left w:val="none" w:color="000000" w:sz="0" w:space="0"/>
          <w:bottom w:val="none" w:color="000000" w:sz="0" w:space="31"/>
          <w:right w:val="none" w:color="000000" w:sz="0" w:space="0"/>
        </w:pBdr>
        <w:kinsoku/>
        <w:wordWrap/>
        <w:overflowPunct/>
        <w:topLinePunct w:val="0"/>
        <w:autoSpaceDE/>
        <w:autoSpaceDN w:val="0"/>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val="en-US" w:eastAsia="zh-CN"/>
        </w:rPr>
        <w:t>3.繁荣</w:t>
      </w:r>
      <w:r>
        <w:rPr>
          <w:rFonts w:hint="default" w:ascii="Times New Roman" w:hAnsi="Times New Roman" w:eastAsia="仿宋_GB2312" w:cs="Times New Roman"/>
          <w:b/>
          <w:bCs/>
          <w:color w:val="auto"/>
          <w:sz w:val="32"/>
          <w:szCs w:val="32"/>
          <w:highlight w:val="none"/>
          <w:lang w:eastAsia="zh-CN"/>
        </w:rPr>
        <w:t>发展</w:t>
      </w:r>
      <w:r>
        <w:rPr>
          <w:rFonts w:hint="default" w:ascii="Times New Roman" w:hAnsi="Times New Roman" w:eastAsia="仿宋_GB2312" w:cs="Times New Roman"/>
          <w:b/>
          <w:bCs/>
          <w:color w:val="auto"/>
          <w:sz w:val="32"/>
          <w:szCs w:val="32"/>
          <w:highlight w:val="none"/>
        </w:rPr>
        <w:t>教育</w:t>
      </w:r>
      <w:r>
        <w:rPr>
          <w:rFonts w:hint="default" w:ascii="Times New Roman" w:hAnsi="Times New Roman" w:eastAsia="仿宋_GB2312" w:cs="Times New Roman"/>
          <w:b/>
          <w:bCs/>
          <w:color w:val="auto"/>
          <w:sz w:val="32"/>
          <w:szCs w:val="32"/>
          <w:highlight w:val="none"/>
          <w:lang w:eastAsia="zh-CN"/>
        </w:rPr>
        <w:t>事业</w:t>
      </w:r>
      <w:r>
        <w:rPr>
          <w:rFonts w:hint="default" w:ascii="Times New Roman" w:hAnsi="Times New Roman" w:eastAsia="仿宋_GB2312" w:cs="Times New Roman"/>
          <w:b/>
          <w:bCs/>
          <w:color w:val="auto"/>
          <w:sz w:val="32"/>
          <w:szCs w:val="32"/>
          <w:highlight w:val="none"/>
        </w:rPr>
        <w:t>。</w:t>
      </w:r>
      <w:r>
        <w:rPr>
          <w:rFonts w:hint="default" w:ascii="Times New Roman" w:hAnsi="Times New Roman" w:eastAsia="仿宋_GB2312" w:cs="Times New Roman"/>
          <w:color w:val="auto"/>
          <w:sz w:val="32"/>
          <w:szCs w:val="32"/>
          <w:highlight w:val="none"/>
          <w:lang w:eastAsia="zh-CN"/>
        </w:rPr>
        <w:t>增加普惠性学前教育资源供给，推进河头、附城、洋青镇沙古中心幼儿园及城月镇第二幼儿园建设，巩固提升学前教育“5080”攻坚工程成效。落实“双减”工作，谋划建设遂城第十四小学和县城1所初中，推进北坡实验学校建设，新增中小学学位3665个，促进义务教育优质均衡发展。</w:t>
      </w:r>
      <w:r>
        <w:rPr>
          <w:rFonts w:hint="default" w:ascii="Times New Roman" w:hAnsi="Times New Roman" w:eastAsia="仿宋_GB2312" w:cs="Times New Roman"/>
          <w:color w:val="auto"/>
          <w:sz w:val="32"/>
          <w:szCs w:val="32"/>
          <w:highlight w:val="none"/>
        </w:rPr>
        <w:t>加快</w:t>
      </w:r>
      <w:r>
        <w:rPr>
          <w:rFonts w:hint="default" w:ascii="Times New Roman" w:hAnsi="Times New Roman" w:eastAsia="仿宋_GB2312" w:cs="Times New Roman"/>
          <w:color w:val="auto"/>
          <w:sz w:val="32"/>
          <w:szCs w:val="32"/>
          <w:highlight w:val="none"/>
          <w:lang w:val="en-US" w:eastAsia="zh-CN"/>
        </w:rPr>
        <w:t>推进</w:t>
      </w:r>
      <w:r>
        <w:rPr>
          <w:rFonts w:hint="default" w:ascii="Times New Roman" w:hAnsi="Times New Roman" w:eastAsia="仿宋_GB2312" w:cs="Times New Roman"/>
          <w:color w:val="auto"/>
          <w:sz w:val="32"/>
          <w:szCs w:val="32"/>
          <w:highlight w:val="none"/>
        </w:rPr>
        <w:t>4所高中扶贫项目</w:t>
      </w:r>
      <w:r>
        <w:rPr>
          <w:rFonts w:hint="default" w:ascii="Times New Roman" w:hAnsi="Times New Roman" w:eastAsia="仿宋_GB2312" w:cs="Times New Roman"/>
          <w:color w:val="auto"/>
          <w:sz w:val="32"/>
          <w:szCs w:val="32"/>
          <w:highlight w:val="none"/>
          <w:lang w:eastAsia="zh-CN"/>
        </w:rPr>
        <w:t>完工投入使用。实施“新强师工程”，落实中小学校长、教师交流轮岗制度，年内至少</w:t>
      </w:r>
      <w:r>
        <w:rPr>
          <w:rFonts w:hint="default" w:ascii="Times New Roman" w:hAnsi="Times New Roman" w:eastAsia="仿宋_GB2312" w:cs="Times New Roman"/>
          <w:color w:val="auto"/>
          <w:sz w:val="32"/>
          <w:szCs w:val="32"/>
          <w:highlight w:val="none"/>
          <w:lang w:val="en-US" w:eastAsia="zh-CN"/>
        </w:rPr>
        <w:t>新招聘</w:t>
      </w:r>
      <w:r>
        <w:rPr>
          <w:rFonts w:hint="default" w:ascii="Times New Roman" w:hAnsi="Times New Roman" w:eastAsia="仿宋_GB2312" w:cs="Times New Roman"/>
          <w:color w:val="auto"/>
          <w:sz w:val="32"/>
          <w:szCs w:val="32"/>
          <w:highlight w:val="none"/>
          <w:lang w:eastAsia="zh-CN"/>
        </w:rPr>
        <w:t>300名教师逐步解决结构性缺编问题。</w:t>
      </w:r>
    </w:p>
    <w:p>
      <w:pPr>
        <w:keepNext w:val="0"/>
        <w:keepLines w:val="0"/>
        <w:pageBreakBefore w:val="0"/>
        <w:widowControl w:val="0"/>
        <w:pBdr>
          <w:top w:val="none" w:color="000000" w:sz="0" w:space="0"/>
          <w:left w:val="none" w:color="000000" w:sz="0" w:space="0"/>
          <w:bottom w:val="none" w:color="000000" w:sz="0" w:space="31"/>
          <w:right w:val="none" w:color="000000" w:sz="0" w:space="0"/>
        </w:pBdr>
        <w:kinsoku/>
        <w:wordWrap/>
        <w:overflowPunct/>
        <w:topLinePunct w:val="0"/>
        <w:autoSpaceDE/>
        <w:autoSpaceDN w:val="0"/>
        <w:bidi w:val="0"/>
        <w:adjustRightInd/>
        <w:snapToGrid/>
        <w:spacing w:line="560" w:lineRule="exact"/>
        <w:ind w:firstLine="643" w:firstLineChars="200"/>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val="en-US" w:eastAsia="zh-CN"/>
        </w:rPr>
        <w:t>4.</w:t>
      </w:r>
      <w:r>
        <w:rPr>
          <w:rFonts w:hint="default" w:ascii="Times New Roman" w:hAnsi="Times New Roman" w:eastAsia="仿宋_GB2312" w:cs="Times New Roman"/>
          <w:b/>
          <w:bCs/>
          <w:color w:val="auto"/>
          <w:sz w:val="32"/>
          <w:szCs w:val="32"/>
          <w:highlight w:val="none"/>
          <w:lang w:eastAsia="zh-CN"/>
        </w:rPr>
        <w:t>建设平安</w:t>
      </w:r>
      <w:r>
        <w:rPr>
          <w:rFonts w:hint="default" w:ascii="Times New Roman" w:hAnsi="Times New Roman" w:eastAsia="仿宋_GB2312" w:cs="Times New Roman"/>
          <w:b/>
          <w:bCs/>
          <w:color w:val="auto"/>
          <w:sz w:val="32"/>
          <w:szCs w:val="32"/>
          <w:highlight w:val="none"/>
          <w:lang w:val="en-US" w:eastAsia="zh-CN"/>
        </w:rPr>
        <w:t>文明</w:t>
      </w:r>
      <w:r>
        <w:rPr>
          <w:rFonts w:hint="default" w:ascii="Times New Roman" w:hAnsi="Times New Roman" w:eastAsia="仿宋_GB2312" w:cs="Times New Roman"/>
          <w:b/>
          <w:bCs/>
          <w:color w:val="auto"/>
          <w:sz w:val="32"/>
          <w:szCs w:val="32"/>
          <w:highlight w:val="none"/>
          <w:lang w:eastAsia="zh-CN"/>
        </w:rPr>
        <w:t>遂溪。</w:t>
      </w:r>
      <w:r>
        <w:rPr>
          <w:rFonts w:hint="default" w:ascii="Times New Roman" w:hAnsi="Times New Roman" w:eastAsia="仿宋_GB2312" w:cs="Times New Roman"/>
          <w:b w:val="0"/>
          <w:bCs w:val="0"/>
          <w:color w:val="auto"/>
          <w:sz w:val="32"/>
          <w:szCs w:val="32"/>
          <w:highlight w:val="none"/>
        </w:rPr>
        <w:t>大力推进精神文明建设</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加快推进基层社会治理现代化</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常态化开展扫黑除恶，严厉打击电信网络诈骗、盗窃、赌博等突出违法犯罪行为，扎实做好禁毒工作。</w:t>
      </w:r>
      <w:r>
        <w:rPr>
          <w:rFonts w:hint="default" w:ascii="Times New Roman" w:hAnsi="Times New Roman" w:eastAsia="仿宋_GB2312" w:cs="Times New Roman"/>
          <w:color w:val="auto"/>
          <w:sz w:val="32"/>
          <w:szCs w:val="32"/>
          <w:highlight w:val="none"/>
        </w:rPr>
        <w:t>进一步完善安全生产责任体系，严格落实安全生产各项规定，坚决防范和遏制重特大事故发生。健全突发事件应急体系，进一步加快应急资源、救援队伍、消防力量整合，</w:t>
      </w:r>
      <w:r>
        <w:rPr>
          <w:rFonts w:hint="default" w:ascii="Times New Roman" w:hAnsi="Times New Roman" w:eastAsia="仿宋_GB2312" w:cs="Times New Roman"/>
          <w:b w:val="0"/>
          <w:bCs w:val="0"/>
          <w:color w:val="auto"/>
          <w:sz w:val="32"/>
          <w:szCs w:val="32"/>
          <w:highlight w:val="none"/>
          <w:lang w:eastAsia="zh-CN"/>
        </w:rPr>
        <w:t>加快</w:t>
      </w:r>
      <w:r>
        <w:rPr>
          <w:rFonts w:hint="default" w:ascii="Times New Roman" w:hAnsi="Times New Roman" w:eastAsia="仿宋_GB2312" w:cs="Times New Roman"/>
          <w:color w:val="auto"/>
          <w:sz w:val="32"/>
          <w:szCs w:val="32"/>
          <w:highlight w:val="none"/>
        </w:rPr>
        <w:t>推进应急救援基地建设工作</w:t>
      </w:r>
      <w:r>
        <w:rPr>
          <w:rFonts w:hint="default" w:ascii="Times New Roman" w:hAnsi="Times New Roman" w:eastAsia="仿宋_GB2312" w:cs="Times New Roman"/>
          <w:b w:val="0"/>
          <w:bCs w:val="0"/>
          <w:color w:val="auto"/>
          <w:sz w:val="32"/>
          <w:szCs w:val="32"/>
          <w:highlight w:val="none"/>
          <w:lang w:eastAsia="zh-CN"/>
        </w:rPr>
        <w:t>。强化食品药品安全监管和重大活动食品安全保障，确保人民群众生命安全。与此同时，全力推进统计、妇女儿童、共青团、档案事业、供销、县志修编、残疾人事业、气象地震监测等各项工作。</w:t>
      </w:r>
    </w:p>
    <w:p>
      <w:pPr>
        <w:pStyle w:val="8"/>
        <w:keepNext w:val="0"/>
        <w:keepLines w:val="0"/>
        <w:pageBreakBefore w:val="0"/>
        <w:widowControl w:val="0"/>
        <w:kinsoku/>
        <w:wordWrap/>
        <w:overflowPunct/>
        <w:topLinePunct w:val="0"/>
        <w:autoSpaceDE/>
        <w:bidi w:val="0"/>
        <w:adjustRightInd/>
        <w:snapToGrid/>
        <w:spacing w:line="560" w:lineRule="exact"/>
        <w:textAlignment w:val="auto"/>
        <w:rPr>
          <w:rFonts w:hint="default" w:ascii="Times New Roman" w:hAnsi="Times New Roman" w:eastAsia="仿宋_GB2312" w:cs="Times New Roman"/>
          <w:b w:val="0"/>
          <w:bCs w:val="0"/>
          <w:color w:val="auto"/>
          <w:sz w:val="32"/>
          <w:szCs w:val="32"/>
          <w:highlight w:val="none"/>
          <w:lang w:eastAsia="zh-CN"/>
        </w:rPr>
      </w:pPr>
    </w:p>
    <w:p>
      <w:pPr>
        <w:keepNext w:val="0"/>
        <w:keepLines w:val="0"/>
        <w:pageBreakBefore w:val="0"/>
        <w:widowControl w:val="0"/>
        <w:pBdr>
          <w:top w:val="none" w:color="000000" w:sz="0" w:space="0"/>
          <w:left w:val="none" w:color="000000" w:sz="0" w:space="0"/>
          <w:bottom w:val="none" w:color="000000" w:sz="0" w:space="31"/>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position w:val="2"/>
          <w:sz w:val="32"/>
          <w:szCs w:val="32"/>
        </w:rPr>
      </w:pPr>
      <w:r>
        <w:rPr>
          <w:rFonts w:hint="default" w:ascii="Times New Roman" w:hAnsi="Times New Roman" w:eastAsia="仿宋_GB2312" w:cs="Times New Roman"/>
          <w:color w:val="000000"/>
          <w:position w:val="2"/>
          <w:sz w:val="32"/>
          <w:szCs w:val="32"/>
        </w:rPr>
        <w:t>附表：遂溪县</w:t>
      </w:r>
      <w:r>
        <w:rPr>
          <w:rFonts w:hint="default" w:ascii="Times New Roman" w:hAnsi="Times New Roman" w:eastAsia="仿宋_GB2312" w:cs="Times New Roman"/>
          <w:color w:val="000000"/>
          <w:position w:val="2"/>
          <w:sz w:val="32"/>
          <w:szCs w:val="32"/>
          <w:lang w:val="en-US" w:eastAsia="zh-CN"/>
        </w:rPr>
        <w:t>2022</w:t>
      </w:r>
      <w:r>
        <w:rPr>
          <w:rFonts w:hint="default" w:ascii="Times New Roman" w:hAnsi="Times New Roman" w:eastAsia="仿宋_GB2312" w:cs="Times New Roman"/>
          <w:color w:val="000000"/>
          <w:position w:val="2"/>
          <w:sz w:val="32"/>
          <w:szCs w:val="32"/>
        </w:rPr>
        <w:t>年经济社会发展主要预期目标（草案）</w:t>
      </w:r>
    </w:p>
    <w:p>
      <w:pPr>
        <w:pStyle w:val="8"/>
        <w:ind w:left="0" w:leftChars="0" w:firstLine="0" w:firstLineChars="0"/>
        <w:rPr>
          <w:rFonts w:hint="default" w:ascii="Times New Roman" w:hAnsi="Times New Roman" w:eastAsia="仿宋_GB2312" w:cs="Times New Roman"/>
          <w:i w:val="0"/>
          <w:iCs w:val="0"/>
          <w:caps w:val="0"/>
          <w:color w:val="000000" w:themeColor="text1"/>
          <w:spacing w:val="0"/>
          <w:kern w:val="2"/>
          <w:sz w:val="32"/>
          <w:szCs w:val="32"/>
          <w:shd w:val="clear" w:fill="FFFFFF"/>
          <w:lang w:val="en-US" w:eastAsia="zh-CN" w:bidi="ar-SA"/>
          <w14:textFill>
            <w14:solidFill>
              <w14:schemeClr w14:val="tx1"/>
            </w14:solidFill>
          </w14:textFill>
        </w:rPr>
        <w:sectPr>
          <w:footerReference r:id="rId3" w:type="default"/>
          <w:pgSz w:w="11906" w:h="16838"/>
          <w:pgMar w:top="1701" w:right="1474" w:bottom="1134" w:left="1587" w:header="851" w:footer="992" w:gutter="0"/>
          <w:pgNumType w:fmt="decimal"/>
          <w:cols w:space="425" w:num="1"/>
          <w:docGrid w:type="lines" w:linePitch="312" w:charSpace="0"/>
        </w:sectPr>
      </w:pPr>
    </w:p>
    <w:p>
      <w:pPr>
        <w:keepNext w:val="0"/>
        <w:keepLines w:val="0"/>
        <w:pageBreakBefore w:val="0"/>
        <w:widowControl w:val="0"/>
        <w:numPr>
          <w:ilvl w:val="0"/>
          <w:numId w:val="0"/>
        </w:numPr>
        <w:pBdr>
          <w:top w:val="none" w:color="auto" w:sz="0" w:space="0"/>
          <w:left w:val="none" w:color="auto" w:sz="0" w:space="0"/>
          <w:bottom w:val="none" w:color="auto" w:sz="0" w:space="31"/>
          <w:right w:val="none" w:color="auto" w:sz="0" w:space="0"/>
        </w:pBdr>
        <w:kinsoku/>
        <w:wordWrap/>
        <w:overflowPunct/>
        <w:topLinePunct w:val="0"/>
        <w:autoSpaceDE/>
        <w:autoSpaceDN w:val="0"/>
        <w:bidi w:val="0"/>
        <w:adjustRightInd w:val="0"/>
        <w:snapToGrid w:val="0"/>
        <w:spacing w:line="600" w:lineRule="exact"/>
        <w:jc w:val="left"/>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附件:</w:t>
      </w:r>
    </w:p>
    <w:tbl>
      <w:tblPr>
        <w:tblStyle w:val="9"/>
        <w:tblpPr w:leftFromText="180" w:rightFromText="180" w:vertAnchor="text" w:horzAnchor="page" w:tblpXSpec="center" w:tblpY="846"/>
        <w:tblOverlap w:val="never"/>
        <w:tblW w:w="955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27"/>
        <w:gridCol w:w="1440"/>
        <w:gridCol w:w="1350"/>
        <w:gridCol w:w="1410"/>
        <w:gridCol w:w="14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blHeader/>
          <w:jc w:val="center"/>
        </w:trPr>
        <w:tc>
          <w:tcPr>
            <w:tcW w:w="392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ind w:firstLine="843" w:firstLineChars="300"/>
              <w:jc w:val="both"/>
              <w:rPr>
                <w:rStyle w:val="11"/>
                <w:rFonts w:hint="default" w:ascii="Times New Roman" w:hAnsi="Times New Roman" w:eastAsia="楷体_GB2312" w:cs="Times New Roman"/>
                <w:bCs/>
                <w:color w:val="000000" w:themeColor="text1"/>
                <w:sz w:val="24"/>
                <w14:textFill>
                  <w14:solidFill>
                    <w14:schemeClr w14:val="tx1"/>
                  </w14:solidFill>
                </w14:textFill>
              </w:rPr>
            </w:pPr>
            <w:r>
              <w:rPr>
                <w:rStyle w:val="11"/>
                <w:rFonts w:hint="default" w:ascii="Times New Roman" w:hAnsi="Times New Roman" w:eastAsia="楷体_GB2312" w:cs="Times New Roman"/>
                <w:b/>
                <w:color w:val="000000" w:themeColor="text1"/>
                <w:sz w:val="28"/>
                <w:szCs w:val="28"/>
                <w14:textFill>
                  <w14:solidFill>
                    <w14:schemeClr w14:val="tx1"/>
                  </w14:solidFill>
                </w14:textFill>
              </w:rPr>
              <w:t>指  标  名  称</w:t>
            </w:r>
          </w:p>
        </w:tc>
        <w:tc>
          <w:tcPr>
            <w:tcW w:w="27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rPr>
                <w:rStyle w:val="11"/>
                <w:rFonts w:hint="default" w:ascii="Times New Roman" w:hAnsi="Times New Roman" w:eastAsia="楷体_GB2312" w:cs="Times New Roman"/>
                <w:b/>
                <w:color w:val="000000" w:themeColor="text1"/>
                <w:sz w:val="28"/>
                <w:szCs w:val="28"/>
                <w14:textFill>
                  <w14:solidFill>
                    <w14:schemeClr w14:val="tx1"/>
                  </w14:solidFill>
                </w14:textFill>
              </w:rPr>
            </w:pPr>
            <w:r>
              <w:rPr>
                <w:rStyle w:val="11"/>
                <w:rFonts w:hint="default" w:ascii="Times New Roman" w:hAnsi="Times New Roman" w:eastAsia="楷体_GB2312" w:cs="Times New Roman"/>
                <w:b/>
                <w:color w:val="000000" w:themeColor="text1"/>
                <w:sz w:val="28"/>
                <w:szCs w:val="28"/>
                <w14:textFill>
                  <w14:solidFill>
                    <w14:schemeClr w14:val="tx1"/>
                  </w14:solidFill>
                </w14:textFill>
              </w:rPr>
              <w:t>202</w:t>
            </w:r>
            <w:r>
              <w:rPr>
                <w:rStyle w:val="11"/>
                <w:rFonts w:hint="default" w:ascii="Times New Roman" w:hAnsi="Times New Roman" w:eastAsia="楷体_GB2312" w:cs="Times New Roman"/>
                <w:b/>
                <w:color w:val="000000" w:themeColor="text1"/>
                <w:sz w:val="28"/>
                <w:szCs w:val="28"/>
                <w:lang w:val="en-US"/>
                <w14:textFill>
                  <w14:solidFill>
                    <w14:schemeClr w14:val="tx1"/>
                  </w14:solidFill>
                </w14:textFill>
              </w:rPr>
              <w:t>1</w:t>
            </w:r>
            <w:r>
              <w:rPr>
                <w:rStyle w:val="11"/>
                <w:rFonts w:hint="default" w:ascii="Times New Roman" w:hAnsi="Times New Roman" w:eastAsia="楷体_GB2312" w:cs="Times New Roman"/>
                <w:b/>
                <w:color w:val="000000" w:themeColor="text1"/>
                <w:sz w:val="28"/>
                <w:szCs w:val="28"/>
                <w14:textFill>
                  <w14:solidFill>
                    <w14:schemeClr w14:val="tx1"/>
                  </w14:solidFill>
                </w14:textFill>
              </w:rPr>
              <w:t>年完成情况</w:t>
            </w:r>
          </w:p>
        </w:tc>
        <w:tc>
          <w:tcPr>
            <w:tcW w:w="283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rPr>
                <w:rStyle w:val="11"/>
                <w:rFonts w:hint="default" w:ascii="Times New Roman" w:hAnsi="Times New Roman" w:eastAsia="楷体_GB2312" w:cs="Times New Roman"/>
                <w:b/>
                <w:color w:val="000000" w:themeColor="text1"/>
                <w:sz w:val="28"/>
                <w:szCs w:val="28"/>
                <w14:textFill>
                  <w14:solidFill>
                    <w14:schemeClr w14:val="tx1"/>
                  </w14:solidFill>
                </w14:textFill>
              </w:rPr>
            </w:pPr>
            <w:r>
              <w:rPr>
                <w:rStyle w:val="11"/>
                <w:rFonts w:hint="default" w:ascii="Times New Roman" w:hAnsi="Times New Roman" w:eastAsia="楷体_GB2312" w:cs="Times New Roman"/>
                <w:b/>
                <w:color w:val="000000" w:themeColor="text1"/>
                <w:sz w:val="28"/>
                <w:szCs w:val="28"/>
                <w14:textFill>
                  <w14:solidFill>
                    <w14:schemeClr w14:val="tx1"/>
                  </w14:solidFill>
                </w14:textFill>
              </w:rPr>
              <w:t>202</w:t>
            </w:r>
            <w:r>
              <w:rPr>
                <w:rStyle w:val="11"/>
                <w:rFonts w:hint="default" w:ascii="Times New Roman" w:hAnsi="Times New Roman" w:eastAsia="楷体_GB2312" w:cs="Times New Roman"/>
                <w:b/>
                <w:color w:val="000000" w:themeColor="text1"/>
                <w:sz w:val="28"/>
                <w:szCs w:val="28"/>
                <w:lang w:val="en-US"/>
                <w14:textFill>
                  <w14:solidFill>
                    <w14:schemeClr w14:val="tx1"/>
                  </w14:solidFill>
                </w14:textFill>
              </w:rPr>
              <w:t>2</w:t>
            </w:r>
            <w:r>
              <w:rPr>
                <w:rStyle w:val="11"/>
                <w:rFonts w:hint="default" w:ascii="Times New Roman" w:hAnsi="Times New Roman" w:eastAsia="楷体_GB2312" w:cs="Times New Roman"/>
                <w:b/>
                <w:color w:val="000000" w:themeColor="text1"/>
                <w:sz w:val="28"/>
                <w:szCs w:val="28"/>
                <w14:textFill>
                  <w14:solidFill>
                    <w14:schemeClr w14:val="tx1"/>
                  </w14:solidFill>
                </w14:textFill>
              </w:rPr>
              <w:t>年预期目标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blHeader/>
          <w:jc w:val="center"/>
        </w:trPr>
        <w:tc>
          <w:tcPr>
            <w:tcW w:w="392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ind w:firstLine="640"/>
              <w:jc w:val="center"/>
              <w:rPr>
                <w:rStyle w:val="11"/>
                <w:rFonts w:hint="default" w:ascii="Times New Roman" w:hAnsi="Times New Roman" w:eastAsia="楷体_GB2312" w:cs="Times New Roman"/>
                <w:bCs/>
                <w:color w:val="000000" w:themeColor="text1"/>
                <w:sz w:val="24"/>
                <w14:textFill>
                  <w14:solidFill>
                    <w14:schemeClr w14:val="tx1"/>
                  </w14:solidFill>
                </w14:textFill>
              </w:rPr>
            </w:pP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rPr>
                <w:rStyle w:val="11"/>
                <w:rFonts w:hint="default" w:ascii="Times New Roman" w:hAnsi="Times New Roman" w:eastAsia="楷体_GB2312" w:cs="Times New Roman"/>
                <w:bCs/>
                <w:color w:val="000000" w:themeColor="text1"/>
                <w:sz w:val="28"/>
                <w:szCs w:val="28"/>
                <w14:textFill>
                  <w14:solidFill>
                    <w14:schemeClr w14:val="tx1"/>
                  </w14:solidFill>
                </w14:textFill>
              </w:rPr>
            </w:pPr>
            <w:r>
              <w:rPr>
                <w:rStyle w:val="11"/>
                <w:rFonts w:hint="default" w:ascii="Times New Roman" w:hAnsi="Times New Roman" w:eastAsia="楷体_GB2312" w:cs="Times New Roman"/>
                <w:bCs/>
                <w:color w:val="000000" w:themeColor="text1"/>
                <w:sz w:val="28"/>
                <w:szCs w:val="28"/>
                <w14:textFill>
                  <w14:solidFill>
                    <w14:schemeClr w14:val="tx1"/>
                  </w14:solidFill>
                </w14:textFill>
              </w:rPr>
              <w:t>绝对值</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ind w:firstLine="280" w:firstLineChars="100"/>
              <w:jc w:val="both"/>
              <w:rPr>
                <w:rStyle w:val="11"/>
                <w:rFonts w:hint="default" w:ascii="Times New Roman" w:hAnsi="Times New Roman" w:eastAsia="楷体_GB2312" w:cs="Times New Roman"/>
                <w:bCs/>
                <w:color w:val="000000" w:themeColor="text1"/>
                <w:sz w:val="28"/>
                <w:szCs w:val="28"/>
                <w14:textFill>
                  <w14:solidFill>
                    <w14:schemeClr w14:val="tx1"/>
                  </w14:solidFill>
                </w14:textFill>
              </w:rPr>
            </w:pPr>
            <w:r>
              <w:rPr>
                <w:rStyle w:val="11"/>
                <w:rFonts w:hint="default" w:ascii="Times New Roman" w:hAnsi="Times New Roman" w:eastAsia="楷体_GB2312" w:cs="Times New Roman"/>
                <w:bCs/>
                <w:color w:val="000000" w:themeColor="text1"/>
                <w:sz w:val="28"/>
                <w:szCs w:val="28"/>
                <w14:textFill>
                  <w14:solidFill>
                    <w14:schemeClr w14:val="tx1"/>
                  </w14:solidFill>
                </w14:textFill>
              </w:rPr>
              <w:t>增长（%）</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ind w:firstLine="280" w:firstLineChars="100"/>
              <w:rPr>
                <w:rStyle w:val="11"/>
                <w:rFonts w:hint="default" w:ascii="Times New Roman" w:hAnsi="Times New Roman" w:eastAsia="楷体_GB2312" w:cs="Times New Roman"/>
                <w:color w:val="000000" w:themeColor="text1"/>
                <w:sz w:val="28"/>
                <w:szCs w:val="28"/>
                <w14:textFill>
                  <w14:solidFill>
                    <w14:schemeClr w14:val="tx1"/>
                  </w14:solidFill>
                </w14:textFill>
              </w:rPr>
            </w:pPr>
            <w:r>
              <w:rPr>
                <w:rStyle w:val="11"/>
                <w:rFonts w:hint="default" w:ascii="Times New Roman" w:hAnsi="Times New Roman" w:eastAsia="楷体_GB2312" w:cs="Times New Roman"/>
                <w:bCs/>
                <w:color w:val="000000" w:themeColor="text1"/>
                <w:sz w:val="28"/>
                <w:szCs w:val="28"/>
                <w14:textFill>
                  <w14:solidFill>
                    <w14:schemeClr w14:val="tx1"/>
                  </w14:solidFill>
                </w14:textFill>
              </w:rPr>
              <w:t>绝对值</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rPr>
                <w:rStyle w:val="11"/>
                <w:rFonts w:hint="default" w:ascii="Times New Roman" w:hAnsi="Times New Roman" w:eastAsia="楷体_GB2312" w:cs="Times New Roman"/>
                <w:color w:val="000000" w:themeColor="text1"/>
                <w:sz w:val="28"/>
                <w:szCs w:val="28"/>
                <w14:textFill>
                  <w14:solidFill>
                    <w14:schemeClr w14:val="tx1"/>
                  </w14:solidFill>
                </w14:textFill>
              </w:rPr>
            </w:pPr>
            <w:r>
              <w:rPr>
                <w:rStyle w:val="11"/>
                <w:rFonts w:hint="default" w:ascii="Times New Roman" w:hAnsi="Times New Roman" w:eastAsia="楷体_GB2312" w:cs="Times New Roman"/>
                <w:bCs/>
                <w:color w:val="000000" w:themeColor="text1"/>
                <w:sz w:val="28"/>
                <w:szCs w:val="28"/>
                <w14:textFill>
                  <w14:solidFill>
                    <w14:schemeClr w14:val="tx1"/>
                  </w14:solidFill>
                </w14:textFill>
              </w:rPr>
              <w:t>增长（%）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地区生产总值（亿元）</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415.5</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8.8</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
                <w14:textFill>
                  <w14:solidFill>
                    <w14:schemeClr w14:val="tx1"/>
                  </w14:solidFill>
                </w14:textFill>
              </w:rPr>
              <w:t>-</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7左右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7"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规模以上工业增加值（亿元）</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28.8</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10.5</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10左右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固定资产投资（亿元）</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98.5</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16.6</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118.2</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社会消费品零售总额（亿元）</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pPr>
            <w:r>
              <w:rPr>
                <w:rStyle w:val="11"/>
                <w:rFonts w:hint="default" w:ascii="Times New Roman" w:hAnsi="Times New Roman" w:eastAsia="仿宋_GB2312" w:cs="Times New Roman"/>
                <w:color w:val="000000" w:themeColor="text1"/>
                <w:position w:val="6"/>
                <w:sz w:val="28"/>
                <w:szCs w:val="28"/>
                <w:lang w:val="en-US" w:eastAsia="zh-CN"/>
                <w14:textFill>
                  <w14:solidFill>
                    <w14:schemeClr w14:val="tx1"/>
                  </w14:solidFill>
                </w14:textFill>
              </w:rPr>
              <w:t>141.3</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pPr>
            <w:r>
              <w:rPr>
                <w:rStyle w:val="11"/>
                <w:rFonts w:hint="default" w:ascii="Times New Roman" w:hAnsi="Times New Roman" w:eastAsia="仿宋_GB2312" w:cs="Times New Roman"/>
                <w:color w:val="000000" w:themeColor="text1"/>
                <w:position w:val="6"/>
                <w:sz w:val="28"/>
                <w:szCs w:val="28"/>
                <w:lang w:val="en-US" w:eastAsia="zh-CN"/>
                <w14:textFill>
                  <w14:solidFill>
                    <w14:schemeClr w14:val="tx1"/>
                  </w14:solidFill>
                </w14:textFill>
              </w:rPr>
              <w:t>9.4</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pPr>
            <w:r>
              <w:rPr>
                <w:rStyle w:val="11"/>
                <w:rFonts w:hint="default" w:ascii="Times New Roman" w:hAnsi="Times New Roman" w:eastAsia="仿宋_GB2312" w:cs="Times New Roman"/>
                <w:color w:val="000000" w:themeColor="text1"/>
                <w:position w:val="6"/>
                <w:sz w:val="28"/>
                <w:szCs w:val="28"/>
                <w:lang w:val="en-US" w:eastAsia="zh-CN"/>
                <w14:textFill>
                  <w14:solidFill>
                    <w14:schemeClr w14:val="tx1"/>
                  </w14:solidFill>
                </w14:textFill>
              </w:rPr>
              <w:t>151.2</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240" w:lineRule="auto"/>
              <w:jc w:val="center"/>
              <w:textAlignment w:val="cente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pPr>
            <w:r>
              <w:rPr>
                <w:rStyle w:val="11"/>
                <w:rFonts w:hint="default" w:ascii="Times New Roman" w:hAnsi="Times New Roman" w:eastAsia="仿宋_GB2312" w:cs="Times New Roman"/>
                <w:color w:val="000000" w:themeColor="text1"/>
                <w:position w:val="6"/>
                <w:sz w:val="28"/>
                <w:szCs w:val="28"/>
                <w:lang w:val="en-US" w:eastAsia="zh-CN"/>
                <w14:textFill>
                  <w14:solidFill>
                    <w14:schemeClr w14:val="tx1"/>
                  </w14:solidFill>
                </w14:textFill>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一般公共预算收入（亿元）</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9.3</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-8.1</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_GB2312"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u w:val="none"/>
                <w:lang w:val="en-US"/>
                <w14:textFill>
                  <w14:solidFill>
                    <w14:schemeClr w14:val="tx1"/>
                  </w14:solidFill>
                </w14:textFill>
              </w:rPr>
              <w:t>-</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_GB2312"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_GB2312" w:cs="Times New Roman"/>
                <w:bCs/>
                <w:color w:val="000000" w:themeColor="text1"/>
                <w:position w:val="6"/>
                <w:sz w:val="28"/>
                <w:szCs w:val="28"/>
                <w:lang w:val="en-US" w:eastAsia="zh-CN"/>
                <w14:textFill>
                  <w14:solidFill>
                    <w14:schemeClr w14:val="tx1"/>
                  </w14:solidFill>
                </w14:textFill>
              </w:rPr>
              <w:t>20左右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货物</w:t>
            </w: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进出口总额（亿元）</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240" w:lineRule="auto"/>
              <w:jc w:val="center"/>
              <w:textAlignment w:val="cente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t>22.9</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pPr>
            <w:r>
              <w:rPr>
                <w:rStyle w:val="11"/>
                <w:rFonts w:hint="default" w:ascii="Times New Roman" w:hAnsi="Times New Roman" w:eastAsia="仿宋_GB2312" w:cs="Times New Roman"/>
                <w:color w:val="000000" w:themeColor="text1"/>
                <w:position w:val="6"/>
                <w:sz w:val="28"/>
                <w:szCs w:val="28"/>
                <w:lang w:val="en-US" w:eastAsia="zh-CN"/>
                <w14:textFill>
                  <w14:solidFill>
                    <w14:schemeClr w14:val="tx1"/>
                  </w14:solidFill>
                </w14:textFill>
              </w:rPr>
              <w:t>-4.6</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240" w:lineRule="auto"/>
              <w:jc w:val="center"/>
              <w:textAlignment w:val="cente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pPr>
            <w:r>
              <w:rPr>
                <w:rStyle w:val="11"/>
                <w:rFonts w:hint="default" w:ascii="Times New Roman" w:hAnsi="Times New Roman" w:eastAsia="仿宋_GB2312" w:cs="Times New Roman"/>
                <w:color w:val="000000" w:themeColor="text1"/>
                <w:position w:val="6"/>
                <w:sz w:val="28"/>
                <w:szCs w:val="28"/>
                <w:lang w:val="en-US" w:eastAsia="zh-CN"/>
                <w14:textFill>
                  <w14:solidFill>
                    <w14:schemeClr w14:val="tx1"/>
                  </w14:solidFill>
                </w14:textFill>
              </w:rPr>
              <w:t>23.1</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tabs>
                <w:tab w:val="left" w:pos="347"/>
              </w:tabs>
              <w:kinsoku/>
              <w:wordWrap/>
              <w:overflowPunct/>
              <w:topLinePunct w:val="0"/>
              <w:bidi w:val="0"/>
              <w:spacing w:line="600" w:lineRule="exact"/>
              <w:jc w:val="center"/>
              <w:rPr>
                <w:rFonts w:hint="default" w:ascii="Times New Roman" w:hAnsi="Times New Roman" w:eastAsia="仿宋_GB2312" w:cs="Times New Roman"/>
                <w:color w:val="000000" w:themeColor="text1"/>
                <w:kern w:val="2"/>
                <w:position w:val="6"/>
                <w:sz w:val="28"/>
                <w:szCs w:val="28"/>
                <w:lang w:val="en-US" w:eastAsia="zh-CN" w:bidi="ar-SA"/>
                <w14:textFill>
                  <w14:solidFill>
                    <w14:schemeClr w14:val="tx1"/>
                  </w14:solidFill>
                </w14:textFill>
              </w:rPr>
            </w:pPr>
            <w:r>
              <w:rPr>
                <w:rStyle w:val="11"/>
                <w:rFonts w:hint="default" w:ascii="Times New Roman" w:hAnsi="Times New Roman" w:eastAsia="仿宋_GB2312" w:cs="Times New Roman"/>
                <w:color w:val="000000" w:themeColor="text1"/>
                <w:position w:val="6"/>
                <w:sz w:val="28"/>
                <w:szCs w:val="28"/>
                <w:lang w:val="en-US" w:eastAsia="zh-CN"/>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高中阶段教育毛入学率（%）</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99.65</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u w:val="none"/>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u w:val="none"/>
                <w:lang w:val="en-US"/>
                <w14:textFill>
                  <w14:solidFill>
                    <w14:schemeClr w14:val="tx1"/>
                  </w14:solidFill>
                </w14:textFill>
              </w:rPr>
              <w:t>-</w:t>
            </w:r>
          </w:p>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u w:val="none"/>
                <w:lang w:val="en-US"/>
                <w14:textFill>
                  <w14:solidFill>
                    <w14:schemeClr w14:val="tx1"/>
                  </w14:solidFill>
                </w14:textFill>
              </w:rPr>
              <w:t>-</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99.66</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城镇登记失业率（%）</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2.08</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w:t>
            </w:r>
          </w:p>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3.5以内</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w:t>
            </w:r>
          </w:p>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城镇新增就业人数（人）</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3859</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3900</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5"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城镇职工基本养老保险参保人数（万人）</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9.12</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9.12</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居民消费价格指数（%）</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100.6</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0.6</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103.0</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3左右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3" w:hRule="exact"/>
          <w:jc w:val="center"/>
        </w:trPr>
        <w:tc>
          <w:tcPr>
            <w:tcW w:w="39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left"/>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14:textFill>
                  <w14:solidFill>
                    <w14:schemeClr w14:val="tx1"/>
                  </w14:solidFill>
                </w14:textFill>
              </w:rPr>
              <w:t>居民人均可支配收入（元）</w:t>
            </w:r>
          </w:p>
        </w:tc>
        <w:tc>
          <w:tcPr>
            <w:tcW w:w="14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24003</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10.1</w:t>
            </w:r>
          </w:p>
        </w:tc>
        <w:tc>
          <w:tcPr>
            <w:tcW w:w="141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600" w:lineRule="exact"/>
              <w:jc w:val="center"/>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t>-</w:t>
            </w:r>
          </w:p>
        </w:tc>
        <w:tc>
          <w:tcPr>
            <w:tcW w:w="1425" w:type="dxa"/>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420" w:lineRule="exact"/>
              <w:jc w:val="left"/>
              <w:textAlignment w:val="center"/>
              <w:rPr>
                <w:rStyle w:val="11"/>
                <w:rFonts w:hint="default" w:ascii="Times New Roman" w:hAnsi="Times New Roman" w:eastAsia="仿宋" w:cs="Times New Roman"/>
                <w:bCs/>
                <w:color w:val="000000" w:themeColor="text1"/>
                <w:position w:val="6"/>
                <w:sz w:val="28"/>
                <w:szCs w:val="28"/>
                <w:lang w:val="en-US"/>
                <w14:textFill>
                  <w14:solidFill>
                    <w14:schemeClr w14:val="tx1"/>
                  </w14:solidFill>
                </w14:textFill>
              </w:rPr>
            </w:pPr>
            <w:r>
              <w:rPr>
                <w:rStyle w:val="11"/>
                <w:rFonts w:hint="default" w:ascii="Times New Roman" w:hAnsi="Times New Roman" w:eastAsia="仿宋" w:cs="Times New Roman"/>
                <w:bCs/>
                <w:color w:val="000000" w:themeColor="text1"/>
                <w:position w:val="6"/>
                <w:sz w:val="28"/>
                <w:szCs w:val="28"/>
                <w:lang w:val="en-US" w:eastAsia="zh-CN"/>
                <w14:textFill>
                  <w14:solidFill>
                    <w14:schemeClr w14:val="tx1"/>
                  </w14:solidFill>
                </w14:textFill>
              </w:rPr>
              <w:t>与地区生产总值增速保持同步</w:t>
            </w:r>
          </w:p>
        </w:tc>
      </w:tr>
    </w:tbl>
    <w:p>
      <w:pPr>
        <w:keepNext w:val="0"/>
        <w:keepLines w:val="0"/>
        <w:pageBreakBefore w:val="0"/>
        <w:widowControl w:val="0"/>
        <w:numPr>
          <w:ilvl w:val="0"/>
          <w:numId w:val="0"/>
        </w:numPr>
        <w:pBdr>
          <w:top w:val="none" w:color="auto" w:sz="0" w:space="0"/>
          <w:left w:val="none" w:color="auto" w:sz="0" w:space="0"/>
          <w:bottom w:val="none" w:color="auto" w:sz="0" w:space="31"/>
          <w:right w:val="none" w:color="auto" w:sz="0" w:space="0"/>
        </w:pBdr>
        <w:kinsoku/>
        <w:wordWrap/>
        <w:overflowPunct/>
        <w:topLinePunct w:val="0"/>
        <w:autoSpaceDE/>
        <w:autoSpaceDN w:val="0"/>
        <w:bidi w:val="0"/>
        <w:adjustRightInd w:val="0"/>
        <w:snapToGrid w:val="0"/>
        <w:spacing w:line="400" w:lineRule="exact"/>
        <w:jc w:val="center"/>
        <w:textAlignment w:val="auto"/>
        <w:rPr>
          <w:rStyle w:val="11"/>
          <w:rFonts w:hint="default" w:ascii="Times New Roman" w:hAnsi="Times New Roman" w:eastAsia="方正小标宋简体" w:cs="Times New Roman"/>
          <w:b/>
          <w:color w:val="000000" w:themeColor="text1"/>
          <w:sz w:val="36"/>
          <w:szCs w:val="36"/>
          <w:lang w:val="en-US" w:eastAsia="zh-CN"/>
          <w14:textFill>
            <w14:solidFill>
              <w14:schemeClr w14:val="tx1"/>
            </w14:solidFill>
          </w14:textFill>
        </w:rPr>
      </w:pPr>
      <w:r>
        <w:rPr>
          <w:rStyle w:val="11"/>
          <w:rFonts w:hint="default" w:ascii="Times New Roman" w:hAnsi="Times New Roman" w:eastAsia="方正小标宋简体" w:cs="Times New Roman"/>
          <w:b/>
          <w:color w:val="000000" w:themeColor="text1"/>
          <w:sz w:val="36"/>
          <w:szCs w:val="36"/>
          <w:lang w:val="en-US" w:eastAsia="zh-CN"/>
          <w14:textFill>
            <w14:solidFill>
              <w14:schemeClr w14:val="tx1"/>
            </w14:solidFill>
          </w14:textFill>
        </w:rPr>
        <w:t xml:space="preserve"> 遂溪县</w:t>
      </w:r>
      <w:r>
        <w:rPr>
          <w:rStyle w:val="11"/>
          <w:rFonts w:hint="default" w:ascii="Times New Roman" w:hAnsi="Times New Roman" w:eastAsia="方正小标宋简体" w:cs="Times New Roman"/>
          <w:b/>
          <w:color w:val="000000" w:themeColor="text1"/>
          <w:sz w:val="36"/>
          <w:szCs w:val="36"/>
          <w14:textFill>
            <w14:solidFill>
              <w14:schemeClr w14:val="tx1"/>
            </w14:solidFill>
          </w14:textFill>
        </w:rPr>
        <w:t>202</w:t>
      </w:r>
      <w:r>
        <w:rPr>
          <w:rStyle w:val="11"/>
          <w:rFonts w:hint="default" w:ascii="Times New Roman" w:hAnsi="Times New Roman" w:eastAsia="方正小标宋简体" w:cs="Times New Roman"/>
          <w:b/>
          <w:color w:val="000000" w:themeColor="text1"/>
          <w:sz w:val="36"/>
          <w:szCs w:val="36"/>
          <w:lang w:val="en-US"/>
          <w14:textFill>
            <w14:solidFill>
              <w14:schemeClr w14:val="tx1"/>
            </w14:solidFill>
          </w14:textFill>
        </w:rPr>
        <w:t>2</w:t>
      </w:r>
      <w:r>
        <w:rPr>
          <w:rStyle w:val="11"/>
          <w:rFonts w:hint="default" w:ascii="Times New Roman" w:hAnsi="Times New Roman" w:eastAsia="方正小标宋简体" w:cs="Times New Roman"/>
          <w:b/>
          <w:color w:val="000000" w:themeColor="text1"/>
          <w:sz w:val="36"/>
          <w:szCs w:val="36"/>
          <w14:textFill>
            <w14:solidFill>
              <w14:schemeClr w14:val="tx1"/>
            </w14:solidFill>
          </w14:textFill>
        </w:rPr>
        <w:t>年经济社会发展主要预期目标</w:t>
      </w:r>
      <w:r>
        <w:rPr>
          <w:rStyle w:val="11"/>
          <w:rFonts w:hint="default" w:ascii="Times New Roman" w:hAnsi="Times New Roman" w:eastAsia="方正小标宋简体" w:cs="Times New Roman"/>
          <w:b/>
          <w:color w:val="000000" w:themeColor="text1"/>
          <w:sz w:val="36"/>
          <w:szCs w:val="36"/>
          <w:lang w:eastAsia="zh-CN"/>
          <w14:textFill>
            <w14:solidFill>
              <w14:schemeClr w14:val="tx1"/>
            </w14:solidFill>
          </w14:textFill>
        </w:rPr>
        <w:t>（</w:t>
      </w:r>
      <w:r>
        <w:rPr>
          <w:rStyle w:val="11"/>
          <w:rFonts w:hint="default" w:ascii="Times New Roman" w:hAnsi="Times New Roman" w:eastAsia="方正小标宋简体" w:cs="Times New Roman"/>
          <w:b/>
          <w:color w:val="000000" w:themeColor="text1"/>
          <w:sz w:val="36"/>
          <w:szCs w:val="36"/>
          <w:lang w:val="en-US" w:eastAsia="zh-CN"/>
          <w14:textFill>
            <w14:solidFill>
              <w14:schemeClr w14:val="tx1"/>
            </w14:solidFill>
          </w14:textFill>
        </w:rPr>
        <w:t xml:space="preserve">草案）                             </w:t>
      </w:r>
    </w:p>
    <w:p>
      <w:pPr>
        <w:keepNext w:val="0"/>
        <w:keepLines w:val="0"/>
        <w:pageBreakBefore w:val="0"/>
        <w:widowControl w:val="0"/>
        <w:numPr>
          <w:ilvl w:val="0"/>
          <w:numId w:val="0"/>
        </w:numPr>
        <w:pBdr>
          <w:top w:val="none" w:color="auto" w:sz="0" w:space="0"/>
          <w:left w:val="none" w:color="auto" w:sz="0" w:space="0"/>
          <w:bottom w:val="none" w:color="auto" w:sz="0" w:space="31"/>
          <w:right w:val="none" w:color="auto" w:sz="0" w:space="0"/>
        </w:pBdr>
        <w:kinsoku/>
        <w:wordWrap/>
        <w:overflowPunct/>
        <w:topLinePunct w:val="0"/>
        <w:autoSpaceDE/>
        <w:autoSpaceDN w:val="0"/>
        <w:bidi w:val="0"/>
        <w:adjustRightInd w:val="0"/>
        <w:snapToGrid w:val="0"/>
        <w:spacing w:line="400" w:lineRule="exact"/>
        <w:jc w:val="center"/>
        <w:textAlignment w:val="auto"/>
        <w:rPr>
          <w:rStyle w:val="11"/>
          <w:rFonts w:hint="default" w:ascii="Times New Roman" w:hAnsi="Times New Roman" w:eastAsia="仿宋" w:cs="Times New Roman"/>
          <w:bCs/>
          <w:color w:val="000000" w:themeColor="text1"/>
          <w:kern w:val="2"/>
          <w:position w:val="6"/>
          <w:sz w:val="28"/>
          <w:szCs w:val="28"/>
          <w:lang w:val="en-US" w:eastAsia="zh-CN" w:bidi="ar-SA"/>
          <w14:textFill>
            <w14:solidFill>
              <w14:schemeClr w14:val="tx1"/>
            </w14:solidFill>
          </w14:textFill>
        </w:rPr>
      </w:pPr>
    </w:p>
    <w:p>
      <w:pPr>
        <w:keepNext w:val="0"/>
        <w:keepLines w:val="0"/>
        <w:pageBreakBefore w:val="0"/>
        <w:widowControl w:val="0"/>
        <w:numPr>
          <w:ilvl w:val="0"/>
          <w:numId w:val="0"/>
        </w:numPr>
        <w:pBdr>
          <w:top w:val="none" w:color="auto" w:sz="0" w:space="0"/>
          <w:left w:val="none" w:color="auto" w:sz="0" w:space="0"/>
          <w:bottom w:val="none" w:color="auto" w:sz="0" w:space="31"/>
          <w:right w:val="none" w:color="auto" w:sz="0" w:space="0"/>
        </w:pBdr>
        <w:kinsoku/>
        <w:wordWrap/>
        <w:overflowPunct/>
        <w:topLinePunct w:val="0"/>
        <w:autoSpaceDE/>
        <w:autoSpaceDN w:val="0"/>
        <w:bidi w:val="0"/>
        <w:adjustRightInd w:val="0"/>
        <w:snapToGrid w:val="0"/>
        <w:spacing w:line="400" w:lineRule="exact"/>
        <w:ind w:left="840" w:hanging="960" w:hangingChars="300"/>
        <w:jc w:val="left"/>
        <w:textAlignment w:val="auto"/>
        <w:rPr>
          <w:rFonts w:hint="default" w:ascii="Times New Roman" w:hAnsi="Times New Roman" w:eastAsia="仿宋_GB2312" w:cs="Times New Roman"/>
          <w:sz w:val="32"/>
          <w:szCs w:val="32"/>
          <w:lang w:val="en-US" w:eastAsia="zh-CN"/>
        </w:rPr>
      </w:pPr>
    </w:p>
    <w:sectPr>
      <w:pgSz w:w="11906" w:h="16838"/>
      <w:pgMar w:top="1701" w:right="1474" w:bottom="113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36"/>
                            </w:rPr>
                          </w:pPr>
                          <w:r>
                            <w:rPr>
                              <w:sz w:val="28"/>
                              <w:szCs w:val="36"/>
                            </w:rPr>
                            <w:t xml:space="preserve">— </w:t>
                          </w:r>
                          <w:r>
                            <w:rPr>
                              <w:sz w:val="28"/>
                              <w:szCs w:val="36"/>
                            </w:rPr>
                            <w:fldChar w:fldCharType="begin"/>
                          </w:r>
                          <w:r>
                            <w:rPr>
                              <w:sz w:val="28"/>
                              <w:szCs w:val="36"/>
                            </w:rPr>
                            <w:instrText xml:space="preserve"> PAGE  \* MERGEFORMAT </w:instrText>
                          </w:r>
                          <w:r>
                            <w:rPr>
                              <w:sz w:val="28"/>
                              <w:szCs w:val="36"/>
                            </w:rPr>
                            <w:fldChar w:fldCharType="separate"/>
                          </w:r>
                          <w:r>
                            <w:rPr>
                              <w:sz w:val="28"/>
                              <w:szCs w:val="36"/>
                            </w:rPr>
                            <w:t>1</w:t>
                          </w:r>
                          <w:r>
                            <w:rPr>
                              <w:sz w:val="28"/>
                              <w:szCs w:val="36"/>
                            </w:rPr>
                            <w:fldChar w:fldCharType="end"/>
                          </w:r>
                          <w:r>
                            <w:rPr>
                              <w:sz w:val="28"/>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sz w:val="28"/>
                        <w:szCs w:val="36"/>
                      </w:rPr>
                    </w:pPr>
                    <w:r>
                      <w:rPr>
                        <w:sz w:val="28"/>
                        <w:szCs w:val="36"/>
                      </w:rPr>
                      <w:t xml:space="preserve">— </w:t>
                    </w:r>
                    <w:r>
                      <w:rPr>
                        <w:sz w:val="28"/>
                        <w:szCs w:val="36"/>
                      </w:rPr>
                      <w:fldChar w:fldCharType="begin"/>
                    </w:r>
                    <w:r>
                      <w:rPr>
                        <w:sz w:val="28"/>
                        <w:szCs w:val="36"/>
                      </w:rPr>
                      <w:instrText xml:space="preserve"> PAGE  \* MERGEFORMAT </w:instrText>
                    </w:r>
                    <w:r>
                      <w:rPr>
                        <w:sz w:val="28"/>
                        <w:szCs w:val="36"/>
                      </w:rPr>
                      <w:fldChar w:fldCharType="separate"/>
                    </w:r>
                    <w:r>
                      <w:rPr>
                        <w:sz w:val="28"/>
                        <w:szCs w:val="36"/>
                      </w:rPr>
                      <w:t>1</w:t>
                    </w:r>
                    <w:r>
                      <w:rPr>
                        <w:sz w:val="28"/>
                        <w:szCs w:val="36"/>
                      </w:rPr>
                      <w:fldChar w:fldCharType="end"/>
                    </w:r>
                    <w:r>
                      <w:rPr>
                        <w:sz w:val="28"/>
                        <w:szCs w:val="36"/>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61F25"/>
    <w:multiLevelType w:val="singleLevel"/>
    <w:tmpl w:val="B9861F25"/>
    <w:lvl w:ilvl="0" w:tentative="0">
      <w:start w:val="1"/>
      <w:numFmt w:val="chineseCounting"/>
      <w:suff w:val="nothing"/>
      <w:lvlText w:val="（%1）"/>
      <w:lvlJc w:val="left"/>
      <w:rPr>
        <w:rFonts w:hint="eastAsia"/>
      </w:rPr>
    </w:lvl>
  </w:abstractNum>
  <w:abstractNum w:abstractNumId="1">
    <w:nsid w:val="FD46261C"/>
    <w:multiLevelType w:val="singleLevel"/>
    <w:tmpl w:val="FD46261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D502FB"/>
    <w:rsid w:val="01714809"/>
    <w:rsid w:val="01722330"/>
    <w:rsid w:val="020E2058"/>
    <w:rsid w:val="03327FC8"/>
    <w:rsid w:val="034D095E"/>
    <w:rsid w:val="035166A0"/>
    <w:rsid w:val="03634626"/>
    <w:rsid w:val="03D20080"/>
    <w:rsid w:val="04DA26C6"/>
    <w:rsid w:val="05452235"/>
    <w:rsid w:val="057523EE"/>
    <w:rsid w:val="06F12DC1"/>
    <w:rsid w:val="072639A0"/>
    <w:rsid w:val="079B438E"/>
    <w:rsid w:val="07CC3861"/>
    <w:rsid w:val="085D0891"/>
    <w:rsid w:val="08D4742C"/>
    <w:rsid w:val="09063A89"/>
    <w:rsid w:val="09551934"/>
    <w:rsid w:val="09976DD7"/>
    <w:rsid w:val="0A18752A"/>
    <w:rsid w:val="0BDA11FD"/>
    <w:rsid w:val="0C4922D2"/>
    <w:rsid w:val="0C7451AE"/>
    <w:rsid w:val="0CD97C60"/>
    <w:rsid w:val="0CE2480D"/>
    <w:rsid w:val="0DDF0D4D"/>
    <w:rsid w:val="0E356BBF"/>
    <w:rsid w:val="0E6D0107"/>
    <w:rsid w:val="0E8757B7"/>
    <w:rsid w:val="0EB36461"/>
    <w:rsid w:val="0EB818FA"/>
    <w:rsid w:val="0EE41B4B"/>
    <w:rsid w:val="0F171419"/>
    <w:rsid w:val="0F5903DB"/>
    <w:rsid w:val="0F5D461F"/>
    <w:rsid w:val="0F711E78"/>
    <w:rsid w:val="10533EA5"/>
    <w:rsid w:val="1054157E"/>
    <w:rsid w:val="10A5002C"/>
    <w:rsid w:val="11641C95"/>
    <w:rsid w:val="11857388"/>
    <w:rsid w:val="11BC387F"/>
    <w:rsid w:val="11C97D4A"/>
    <w:rsid w:val="132A4818"/>
    <w:rsid w:val="137D703E"/>
    <w:rsid w:val="13985C26"/>
    <w:rsid w:val="149A59CD"/>
    <w:rsid w:val="158D108E"/>
    <w:rsid w:val="161D2412"/>
    <w:rsid w:val="17606A5A"/>
    <w:rsid w:val="17EA0A1A"/>
    <w:rsid w:val="17FF44C5"/>
    <w:rsid w:val="18F311CF"/>
    <w:rsid w:val="193657E3"/>
    <w:rsid w:val="199D3F96"/>
    <w:rsid w:val="1A1678A4"/>
    <w:rsid w:val="1A1B4EBB"/>
    <w:rsid w:val="1A5F749D"/>
    <w:rsid w:val="1A604FC3"/>
    <w:rsid w:val="1AC90DBB"/>
    <w:rsid w:val="1BC31CAE"/>
    <w:rsid w:val="1C161DDD"/>
    <w:rsid w:val="1C6B3F7F"/>
    <w:rsid w:val="1D0647FA"/>
    <w:rsid w:val="1D384EF4"/>
    <w:rsid w:val="1D807E78"/>
    <w:rsid w:val="1E0C16EA"/>
    <w:rsid w:val="1FDE0E64"/>
    <w:rsid w:val="2099122F"/>
    <w:rsid w:val="212E0A02"/>
    <w:rsid w:val="21D94EAE"/>
    <w:rsid w:val="21DB48C2"/>
    <w:rsid w:val="223C1E72"/>
    <w:rsid w:val="231A6657"/>
    <w:rsid w:val="23392533"/>
    <w:rsid w:val="23A81EB5"/>
    <w:rsid w:val="23D06D16"/>
    <w:rsid w:val="23D36806"/>
    <w:rsid w:val="23FF584D"/>
    <w:rsid w:val="2492221D"/>
    <w:rsid w:val="25096983"/>
    <w:rsid w:val="25164BFC"/>
    <w:rsid w:val="25172D96"/>
    <w:rsid w:val="259326F1"/>
    <w:rsid w:val="25AD37B3"/>
    <w:rsid w:val="25C96113"/>
    <w:rsid w:val="268B33C8"/>
    <w:rsid w:val="26BE554B"/>
    <w:rsid w:val="275D4D64"/>
    <w:rsid w:val="286F2FA1"/>
    <w:rsid w:val="28AF104E"/>
    <w:rsid w:val="28F129DA"/>
    <w:rsid w:val="299E1740"/>
    <w:rsid w:val="29E4176D"/>
    <w:rsid w:val="2B2F678E"/>
    <w:rsid w:val="2B3A637A"/>
    <w:rsid w:val="2B856638"/>
    <w:rsid w:val="2C324A12"/>
    <w:rsid w:val="2C61432D"/>
    <w:rsid w:val="2C7035C2"/>
    <w:rsid w:val="2CDE5825"/>
    <w:rsid w:val="2D173C07"/>
    <w:rsid w:val="2D8F75E5"/>
    <w:rsid w:val="2E7D7A9A"/>
    <w:rsid w:val="2F71089A"/>
    <w:rsid w:val="30AE4883"/>
    <w:rsid w:val="313A1C72"/>
    <w:rsid w:val="31750EFD"/>
    <w:rsid w:val="32494863"/>
    <w:rsid w:val="3292066C"/>
    <w:rsid w:val="342568D0"/>
    <w:rsid w:val="34390A78"/>
    <w:rsid w:val="345E5D64"/>
    <w:rsid w:val="34D04DC8"/>
    <w:rsid w:val="36910587"/>
    <w:rsid w:val="36A77DAA"/>
    <w:rsid w:val="36B9188B"/>
    <w:rsid w:val="36D25ABD"/>
    <w:rsid w:val="37052D23"/>
    <w:rsid w:val="380F5C07"/>
    <w:rsid w:val="38312F66"/>
    <w:rsid w:val="38535627"/>
    <w:rsid w:val="38635F53"/>
    <w:rsid w:val="39094D4C"/>
    <w:rsid w:val="39970912"/>
    <w:rsid w:val="39A86313"/>
    <w:rsid w:val="3A9C74FA"/>
    <w:rsid w:val="3ABD066D"/>
    <w:rsid w:val="3B0A6B5A"/>
    <w:rsid w:val="3CCE00C3"/>
    <w:rsid w:val="3CEA6C43"/>
    <w:rsid w:val="3D145A6E"/>
    <w:rsid w:val="3D8A4880"/>
    <w:rsid w:val="3D94095C"/>
    <w:rsid w:val="3E7756FF"/>
    <w:rsid w:val="3F1434CE"/>
    <w:rsid w:val="3F446ADE"/>
    <w:rsid w:val="3F5E56C6"/>
    <w:rsid w:val="3FCC262F"/>
    <w:rsid w:val="411434DA"/>
    <w:rsid w:val="414B36A2"/>
    <w:rsid w:val="41720217"/>
    <w:rsid w:val="418B6F45"/>
    <w:rsid w:val="42003172"/>
    <w:rsid w:val="424F19F5"/>
    <w:rsid w:val="42791104"/>
    <w:rsid w:val="42B20202"/>
    <w:rsid w:val="43B14016"/>
    <w:rsid w:val="441157E4"/>
    <w:rsid w:val="44C10289"/>
    <w:rsid w:val="44C24001"/>
    <w:rsid w:val="45170A12"/>
    <w:rsid w:val="45775E7E"/>
    <w:rsid w:val="45DC458F"/>
    <w:rsid w:val="46081EE8"/>
    <w:rsid w:val="462A63DE"/>
    <w:rsid w:val="463B22BD"/>
    <w:rsid w:val="469E3730"/>
    <w:rsid w:val="47617B01"/>
    <w:rsid w:val="47767A51"/>
    <w:rsid w:val="47C44B0B"/>
    <w:rsid w:val="497E2BEC"/>
    <w:rsid w:val="49EF3AEA"/>
    <w:rsid w:val="4AC705C3"/>
    <w:rsid w:val="4ADA6548"/>
    <w:rsid w:val="4AE51B4D"/>
    <w:rsid w:val="4B307E6D"/>
    <w:rsid w:val="4B7F2C4C"/>
    <w:rsid w:val="4BB8391B"/>
    <w:rsid w:val="4BC36FDC"/>
    <w:rsid w:val="4BDA60D4"/>
    <w:rsid w:val="4BF0258E"/>
    <w:rsid w:val="4C746529"/>
    <w:rsid w:val="4D6009BD"/>
    <w:rsid w:val="4D7762D0"/>
    <w:rsid w:val="4DBD1C3B"/>
    <w:rsid w:val="4DCC40A8"/>
    <w:rsid w:val="4DCE1C69"/>
    <w:rsid w:val="4E00263F"/>
    <w:rsid w:val="4ECC43FA"/>
    <w:rsid w:val="4EFD2805"/>
    <w:rsid w:val="4FE319FB"/>
    <w:rsid w:val="505F4DFA"/>
    <w:rsid w:val="53177C0E"/>
    <w:rsid w:val="54686973"/>
    <w:rsid w:val="547215A0"/>
    <w:rsid w:val="5483555B"/>
    <w:rsid w:val="548D0188"/>
    <w:rsid w:val="54B576DE"/>
    <w:rsid w:val="54D45DB6"/>
    <w:rsid w:val="54DE0858"/>
    <w:rsid w:val="55226845"/>
    <w:rsid w:val="557E5D22"/>
    <w:rsid w:val="5608006C"/>
    <w:rsid w:val="56670CF5"/>
    <w:rsid w:val="567C073D"/>
    <w:rsid w:val="568D446F"/>
    <w:rsid w:val="56AE2637"/>
    <w:rsid w:val="576742ED"/>
    <w:rsid w:val="579B705F"/>
    <w:rsid w:val="57A56669"/>
    <w:rsid w:val="57C71CB3"/>
    <w:rsid w:val="57E14298"/>
    <w:rsid w:val="57F81DBC"/>
    <w:rsid w:val="580E15DF"/>
    <w:rsid w:val="580E7831"/>
    <w:rsid w:val="5862192B"/>
    <w:rsid w:val="593F7AD7"/>
    <w:rsid w:val="599975CF"/>
    <w:rsid w:val="5A730FD5"/>
    <w:rsid w:val="5AC73942"/>
    <w:rsid w:val="5ADC7773"/>
    <w:rsid w:val="5B2B24A8"/>
    <w:rsid w:val="5BA54009"/>
    <w:rsid w:val="5BB4249E"/>
    <w:rsid w:val="5CE70651"/>
    <w:rsid w:val="5D3F048D"/>
    <w:rsid w:val="5D6121B1"/>
    <w:rsid w:val="5DAD189A"/>
    <w:rsid w:val="5DD25AD6"/>
    <w:rsid w:val="5DFB0858"/>
    <w:rsid w:val="5E225DE5"/>
    <w:rsid w:val="5EA52572"/>
    <w:rsid w:val="5EEC01A1"/>
    <w:rsid w:val="5EFF1C82"/>
    <w:rsid w:val="5F1A179B"/>
    <w:rsid w:val="5F2931A3"/>
    <w:rsid w:val="5F4B136B"/>
    <w:rsid w:val="5F5C5326"/>
    <w:rsid w:val="5FC15189"/>
    <w:rsid w:val="60A2320D"/>
    <w:rsid w:val="60D502FB"/>
    <w:rsid w:val="612E4AA0"/>
    <w:rsid w:val="61BF1193"/>
    <w:rsid w:val="620A1069"/>
    <w:rsid w:val="6232236E"/>
    <w:rsid w:val="623936FD"/>
    <w:rsid w:val="63556314"/>
    <w:rsid w:val="63B3128D"/>
    <w:rsid w:val="63DE27AE"/>
    <w:rsid w:val="63F21DB5"/>
    <w:rsid w:val="641206A9"/>
    <w:rsid w:val="64382E85"/>
    <w:rsid w:val="6470717E"/>
    <w:rsid w:val="64E4288D"/>
    <w:rsid w:val="64F25DE5"/>
    <w:rsid w:val="67F87BB6"/>
    <w:rsid w:val="68CB0E27"/>
    <w:rsid w:val="68FD36D6"/>
    <w:rsid w:val="6922138F"/>
    <w:rsid w:val="69D00DEB"/>
    <w:rsid w:val="6A681023"/>
    <w:rsid w:val="6AD22940"/>
    <w:rsid w:val="6B1940CB"/>
    <w:rsid w:val="6B7439F8"/>
    <w:rsid w:val="6BC95AF1"/>
    <w:rsid w:val="6C9D0D2C"/>
    <w:rsid w:val="6CA24CE1"/>
    <w:rsid w:val="6D4325DD"/>
    <w:rsid w:val="6D497313"/>
    <w:rsid w:val="6DC41A93"/>
    <w:rsid w:val="6F157AAF"/>
    <w:rsid w:val="71080E6A"/>
    <w:rsid w:val="712612F0"/>
    <w:rsid w:val="71AC3EEB"/>
    <w:rsid w:val="71AE1B7B"/>
    <w:rsid w:val="72242A51"/>
    <w:rsid w:val="7298621E"/>
    <w:rsid w:val="73AF458D"/>
    <w:rsid w:val="744F5002"/>
    <w:rsid w:val="74702E1F"/>
    <w:rsid w:val="74C432FA"/>
    <w:rsid w:val="74E53270"/>
    <w:rsid w:val="76197675"/>
    <w:rsid w:val="76BF4DA8"/>
    <w:rsid w:val="77197D0F"/>
    <w:rsid w:val="774B1AB0"/>
    <w:rsid w:val="782C678E"/>
    <w:rsid w:val="786646C8"/>
    <w:rsid w:val="787768D5"/>
    <w:rsid w:val="7A025901"/>
    <w:rsid w:val="7A0F3269"/>
    <w:rsid w:val="7A9E639B"/>
    <w:rsid w:val="7B113011"/>
    <w:rsid w:val="7B2F16E9"/>
    <w:rsid w:val="7BA14395"/>
    <w:rsid w:val="7BC13A52"/>
    <w:rsid w:val="7BCF56C8"/>
    <w:rsid w:val="7DA243F4"/>
    <w:rsid w:val="7DC46119"/>
    <w:rsid w:val="7E437985"/>
    <w:rsid w:val="7EC42148"/>
    <w:rsid w:val="7F1D7FF3"/>
    <w:rsid w:val="7FE64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5">
    <w:name w:val="heading 1"/>
    <w:basedOn w:val="1"/>
    <w:next w:val="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99"/>
    <w:pPr>
      <w:ind w:firstLine="420"/>
    </w:pPr>
  </w:style>
  <w:style w:type="paragraph" w:styleId="3">
    <w:name w:val="Body Text Indent"/>
    <w:basedOn w:val="1"/>
    <w:qFormat/>
    <w:uiPriority w:val="0"/>
    <w:pPr>
      <w:ind w:firstLine="640" w:firstLineChars="200"/>
    </w:pPr>
    <w:rPr>
      <w:rFonts w:ascii="楷体_GB2312" w:eastAsia="楷体_GB2312"/>
      <w:sz w:val="32"/>
      <w:szCs w:val="28"/>
    </w:rPr>
  </w:style>
  <w:style w:type="paragraph" w:styleId="4">
    <w:name w:val="Body Text"/>
    <w:basedOn w:val="1"/>
    <w:next w:val="1"/>
    <w:qFormat/>
    <w:uiPriority w:val="0"/>
    <w:rPr>
      <w:rFonts w:ascii="仿宋_GB2312" w:hAnsi="Times New Roman" w:eastAsia="仿宋_GB2312"/>
      <w:bCs/>
      <w:sz w:val="3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qFormat/>
    <w:uiPriority w:val="0"/>
    <w:pPr>
      <w:ind w:left="420" w:leftChars="200"/>
    </w:pPr>
  </w:style>
  <w:style w:type="character" w:customStyle="1" w:styleId="11">
    <w:name w:val="NormalCharacter"/>
    <w:link w:val="12"/>
    <w:qFormat/>
    <w:uiPriority w:val="0"/>
    <w:rPr>
      <w:sz w:val="24"/>
    </w:rPr>
  </w:style>
  <w:style w:type="paragraph" w:customStyle="1" w:styleId="12">
    <w:name w:val="UserStyle_3"/>
    <w:basedOn w:val="1"/>
    <w:link w:val="11"/>
    <w:qFormat/>
    <w:uiPriority w:val="99"/>
    <w:pPr>
      <w:widowControl/>
      <w:snapToGrid w:val="0"/>
      <w:spacing w:after="160" w:line="360" w:lineRule="auto"/>
      <w:jc w:val="left"/>
      <w:textAlignment w:val="baseline"/>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10298</Words>
  <Characters>10969</Characters>
  <Lines>0</Lines>
  <Paragraphs>0</Paragraphs>
  <TotalTime>12</TotalTime>
  <ScaleCrop>false</ScaleCrop>
  <LinksUpToDate>false</LinksUpToDate>
  <CharactersWithSpaces>11010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2022-02-22T02:01:00Z</dcterms:created>
  <dc:creator>符泽庭</dc:creator>
  <cp:lastModifiedBy>符泽庭</cp:lastModifiedBy>
  <cp:lastPrinted>2022-03-26T03:49:00Z</cp:lastPrinted>
  <dcterms:modified xsi:type="dcterms:W3CDTF">2022-03-31T06:56:19Z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4DA3CC36D64F483BA2F4905FE91214F5</vt:lpwstr>
  </property>
</Properties>
</file>