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bCs/>
          <w:sz w:val="44"/>
          <w:szCs w:val="44"/>
          <w:highlight w:val="none"/>
          <w:lang w:eastAsia="zh-CN"/>
        </w:rPr>
      </w:pPr>
      <w:r>
        <w:rPr>
          <w:rFonts w:hint="eastAsia" w:ascii="方正小标宋简体" w:hAnsi="方正小标宋简体" w:eastAsia="方正小标宋简体" w:cs="方正小标宋简体"/>
          <w:b/>
          <w:bCs/>
          <w:sz w:val="44"/>
          <w:szCs w:val="44"/>
          <w:highlight w:val="none"/>
          <w:lang w:eastAsia="zh-CN"/>
        </w:rPr>
        <w:t>政</w:t>
      </w:r>
      <w:r>
        <w:rPr>
          <w:rFonts w:hint="eastAsia" w:ascii="方正小标宋简体" w:hAnsi="方正小标宋简体" w:eastAsia="方正小标宋简体" w:cs="方正小标宋简体"/>
          <w:b/>
          <w:bCs/>
          <w:sz w:val="44"/>
          <w:szCs w:val="44"/>
          <w:highlight w:val="none"/>
          <w:lang w:val="en-US" w:eastAsia="zh-CN"/>
        </w:rPr>
        <w:t xml:space="preserve"> </w:t>
      </w:r>
      <w:r>
        <w:rPr>
          <w:rFonts w:hint="eastAsia" w:ascii="方正小标宋简体" w:hAnsi="方正小标宋简体" w:eastAsia="方正小标宋简体" w:cs="方正小标宋简体"/>
          <w:b/>
          <w:bCs/>
          <w:sz w:val="44"/>
          <w:szCs w:val="44"/>
          <w:highlight w:val="none"/>
          <w:lang w:eastAsia="zh-CN"/>
        </w:rPr>
        <w:t>府</w:t>
      </w:r>
      <w:r>
        <w:rPr>
          <w:rFonts w:hint="eastAsia" w:ascii="方正小标宋简体" w:hAnsi="方正小标宋简体" w:eastAsia="方正小标宋简体" w:cs="方正小标宋简体"/>
          <w:b/>
          <w:bCs/>
          <w:sz w:val="44"/>
          <w:szCs w:val="44"/>
          <w:highlight w:val="none"/>
          <w:lang w:val="en-US" w:eastAsia="zh-CN"/>
        </w:rPr>
        <w:t xml:space="preserve"> </w:t>
      </w:r>
      <w:r>
        <w:rPr>
          <w:rFonts w:hint="eastAsia" w:ascii="方正小标宋简体" w:hAnsi="方正小标宋简体" w:eastAsia="方正小标宋简体" w:cs="方正小标宋简体"/>
          <w:b/>
          <w:bCs/>
          <w:sz w:val="44"/>
          <w:szCs w:val="44"/>
          <w:highlight w:val="none"/>
          <w:lang w:eastAsia="zh-CN"/>
        </w:rPr>
        <w:t>工</w:t>
      </w:r>
      <w:r>
        <w:rPr>
          <w:rFonts w:hint="eastAsia" w:ascii="方正小标宋简体" w:hAnsi="方正小标宋简体" w:eastAsia="方正小标宋简体" w:cs="方正小标宋简体"/>
          <w:b/>
          <w:bCs/>
          <w:sz w:val="44"/>
          <w:szCs w:val="44"/>
          <w:highlight w:val="none"/>
          <w:lang w:val="en-US" w:eastAsia="zh-CN"/>
        </w:rPr>
        <w:t xml:space="preserve"> </w:t>
      </w:r>
      <w:r>
        <w:rPr>
          <w:rFonts w:hint="eastAsia" w:ascii="方正小标宋简体" w:hAnsi="方正小标宋简体" w:eastAsia="方正小标宋简体" w:cs="方正小标宋简体"/>
          <w:b/>
          <w:bCs/>
          <w:sz w:val="44"/>
          <w:szCs w:val="44"/>
          <w:highlight w:val="none"/>
          <w:lang w:eastAsia="zh-CN"/>
        </w:rPr>
        <w:t>作</w:t>
      </w:r>
      <w:r>
        <w:rPr>
          <w:rFonts w:hint="eastAsia" w:ascii="方正小标宋简体" w:hAnsi="方正小标宋简体" w:eastAsia="方正小标宋简体" w:cs="方正小标宋简体"/>
          <w:b/>
          <w:bCs/>
          <w:sz w:val="44"/>
          <w:szCs w:val="44"/>
          <w:highlight w:val="none"/>
          <w:lang w:val="en-US" w:eastAsia="zh-CN"/>
        </w:rPr>
        <w:t xml:space="preserve"> </w:t>
      </w:r>
      <w:r>
        <w:rPr>
          <w:rFonts w:hint="eastAsia" w:ascii="方正小标宋简体" w:hAnsi="方正小标宋简体" w:eastAsia="方正小标宋简体" w:cs="方正小标宋简体"/>
          <w:b/>
          <w:bCs/>
          <w:sz w:val="44"/>
          <w:szCs w:val="44"/>
          <w:highlight w:val="none"/>
          <w:lang w:eastAsia="zh-CN"/>
        </w:rPr>
        <w:t>报</w:t>
      </w:r>
      <w:r>
        <w:rPr>
          <w:rFonts w:hint="eastAsia" w:ascii="方正小标宋简体" w:hAnsi="方正小标宋简体" w:eastAsia="方正小标宋简体" w:cs="方正小标宋简体"/>
          <w:b/>
          <w:bCs/>
          <w:sz w:val="44"/>
          <w:szCs w:val="44"/>
          <w:highlight w:val="none"/>
          <w:lang w:val="en-US" w:eastAsia="zh-CN"/>
        </w:rPr>
        <w:t xml:space="preserve"> </w:t>
      </w:r>
      <w:r>
        <w:rPr>
          <w:rFonts w:hint="eastAsia" w:ascii="方正小标宋简体" w:hAnsi="方正小标宋简体" w:eastAsia="方正小标宋简体" w:cs="方正小标宋简体"/>
          <w:b/>
          <w:bCs/>
          <w:sz w:val="44"/>
          <w:szCs w:val="44"/>
          <w:highlight w:val="none"/>
          <w:lang w:eastAsia="zh-CN"/>
        </w:rPr>
        <w:t>告</w:t>
      </w:r>
    </w:p>
    <w:p>
      <w:pPr>
        <w:jc w:val="center"/>
        <w:rPr>
          <w:rFonts w:hint="eastAsia" w:ascii="楷体" w:hAnsi="楷体" w:eastAsia="楷体" w:cs="楷体"/>
          <w:sz w:val="32"/>
          <w:szCs w:val="32"/>
          <w:highlight w:val="none"/>
          <w:lang w:eastAsia="zh-CN"/>
        </w:rPr>
      </w:pPr>
    </w:p>
    <w:p>
      <w:pPr>
        <w:jc w:val="center"/>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eastAsia="zh-CN"/>
        </w:rPr>
        <w:t>——</w:t>
      </w:r>
      <w:r>
        <w:rPr>
          <w:rFonts w:hint="eastAsia" w:ascii="楷体" w:hAnsi="楷体" w:eastAsia="楷体" w:cs="楷体"/>
          <w:sz w:val="32"/>
          <w:szCs w:val="32"/>
          <w:highlight w:val="none"/>
          <w:lang w:val="en-US" w:eastAsia="zh-CN"/>
        </w:rPr>
        <w:t>2021年4月8日在港门镇第十七届人民代表大会</w:t>
      </w:r>
    </w:p>
    <w:p>
      <w:pPr>
        <w:jc w:val="center"/>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第九次会议上</w:t>
      </w:r>
    </w:p>
    <w:p>
      <w:pPr>
        <w:jc w:val="center"/>
        <w:rPr>
          <w:rFonts w:hint="eastAsia" w:ascii="楷体" w:hAnsi="楷体" w:eastAsia="楷体" w:cs="楷体"/>
          <w:sz w:val="32"/>
          <w:szCs w:val="32"/>
          <w:highlight w:val="none"/>
          <w:lang w:val="en-US" w:eastAsia="zh-CN"/>
        </w:rPr>
      </w:pPr>
    </w:p>
    <w:p>
      <w:pPr>
        <w:jc w:val="center"/>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港门镇人民政府镇长 罗允升</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各位代表：</w:t>
      </w: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现在，我代表镇人民政府向大会报告政府工作，请予审议，并请各位列席同志提出意见。</w:t>
      </w:r>
    </w:p>
    <w:p>
      <w:pPr>
        <w:jc w:val="center"/>
        <w:rPr>
          <w:rFonts w:hint="eastAsia" w:ascii="方正小标宋简体" w:hAnsi="方正小标宋简体" w:eastAsia="方正小标宋简体" w:cs="方正小标宋简体"/>
          <w:b/>
          <w:bCs/>
          <w:sz w:val="36"/>
          <w:szCs w:val="36"/>
          <w:highlight w:val="none"/>
          <w:lang w:val="en-US" w:eastAsia="zh-CN"/>
        </w:rPr>
      </w:pPr>
      <w:r>
        <w:rPr>
          <w:rFonts w:hint="eastAsia" w:ascii="方正小标宋简体" w:hAnsi="方正小标宋简体" w:eastAsia="方正小标宋简体" w:cs="方正小标宋简体"/>
          <w:b/>
          <w:bCs/>
          <w:sz w:val="36"/>
          <w:szCs w:val="36"/>
          <w:highlight w:val="none"/>
          <w:lang w:val="en-US" w:eastAsia="zh-CN"/>
        </w:rPr>
        <w:t>2020年及“十三五”时期工作回顾</w:t>
      </w: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2020年是我镇决胜脱贫攻坚，建成小康社会，以及完成“十三五”规划的收官之年，也是实施“乡村振兴”战略的关键开局之年。面对新冠疫情的严重冲击，我们始终紧跟习近平总书记和党中央的决策部署，严格落实省市县工作要求，在镇委带领下，以坚如磐石的决心，交出了一份“零报告”的优异答卷，为遂溪的抗疫工作贡献了港门力量，体现了港门担当。</w:t>
      </w:r>
    </w:p>
    <w:p>
      <w:pPr>
        <w:ind w:firstLine="640" w:firstLineChars="200"/>
        <w:rPr>
          <w:rFonts w:hint="eastAsia" w:ascii="仿宋_GB2312" w:hAnsi="仿宋_GB2312" w:eastAsia="仿宋_GB2312" w:cs="仿宋_GB2312"/>
          <w:sz w:val="32"/>
          <w:szCs w:val="32"/>
          <w:highlight w:val="none"/>
          <w:lang w:val="zh-CN" w:eastAsia="zh-CN"/>
        </w:rPr>
      </w:pPr>
      <w:r>
        <w:rPr>
          <w:rFonts w:hint="eastAsia" w:ascii="仿宋_GB2312" w:hAnsi="仿宋_GB2312" w:eastAsia="仿宋_GB2312" w:cs="仿宋_GB2312"/>
          <w:sz w:val="32"/>
          <w:szCs w:val="32"/>
          <w:highlight w:val="none"/>
          <w:lang w:val="en-US" w:eastAsia="zh-CN"/>
        </w:rPr>
        <w:t>各位代表！一年来，在县委县政府和镇委的正确领导下，在镇人大及社会各界的监督支持下，我们坚持以习近平新时代中国特色社会主义思想为指导，全面贯彻落实党中央国务院、省委省政府、市委市政府、县委县政府和镇委的决策部署，统筹推进疫情防控和经济社会发展，集中精力打赢脱贫攻坚战，努力建成小康社会，全力推进乡村振兴战略。2020年，全镇</w:t>
      </w:r>
      <w:r>
        <w:rPr>
          <w:rFonts w:hint="eastAsia" w:ascii="仿宋_GB2312" w:hAnsi="仿宋_GB2312" w:eastAsia="仿宋_GB2312" w:cs="仿宋_GB2312"/>
          <w:sz w:val="32"/>
          <w:szCs w:val="32"/>
          <w:highlight w:val="none"/>
          <w:lang w:val="zh-CN" w:eastAsia="zh-CN"/>
        </w:rPr>
        <w:t>完成</w:t>
      </w:r>
      <w:r>
        <w:rPr>
          <w:rFonts w:hint="eastAsia" w:ascii="仿宋_GB2312" w:hAnsi="仿宋_GB2312" w:eastAsia="仿宋_GB2312" w:cs="仿宋_GB2312"/>
          <w:sz w:val="32"/>
          <w:szCs w:val="32"/>
          <w:highlight w:val="none"/>
          <w:lang w:val="en-US" w:eastAsia="zh-CN"/>
        </w:rPr>
        <w:t>地区生产总值15.9亿</w:t>
      </w:r>
      <w:r>
        <w:rPr>
          <w:rFonts w:hint="eastAsia" w:ascii="仿宋_GB2312" w:hAnsi="仿宋_GB2312" w:eastAsia="仿宋_GB2312" w:cs="仿宋_GB2312"/>
          <w:sz w:val="32"/>
          <w:szCs w:val="32"/>
          <w:highlight w:val="none"/>
          <w:lang w:val="zh-CN" w:eastAsia="zh-CN"/>
        </w:rPr>
        <w:t>元，</w:t>
      </w:r>
      <w:r>
        <w:rPr>
          <w:rFonts w:hint="eastAsia" w:ascii="仿宋_GB2312" w:hAnsi="仿宋_GB2312" w:eastAsia="仿宋_GB2312" w:cs="仿宋_GB2312"/>
          <w:sz w:val="32"/>
          <w:szCs w:val="32"/>
          <w:highlight w:val="none"/>
          <w:lang w:val="en-US" w:eastAsia="zh-CN"/>
        </w:rPr>
        <w:t>同比增长2.1%，其中</w:t>
      </w:r>
      <w:r>
        <w:rPr>
          <w:rFonts w:hint="eastAsia" w:ascii="仿宋_GB2312" w:hAnsi="仿宋_GB2312" w:eastAsia="仿宋_GB2312" w:cs="仿宋_GB2312"/>
          <w:sz w:val="32"/>
          <w:szCs w:val="32"/>
          <w:highlight w:val="none"/>
          <w:lang w:val="zh-CN" w:eastAsia="zh-CN"/>
        </w:rPr>
        <w:t>第一产业</w:t>
      </w:r>
      <w:r>
        <w:rPr>
          <w:rFonts w:hint="eastAsia" w:ascii="仿宋_GB2312" w:hAnsi="仿宋_GB2312" w:eastAsia="仿宋_GB2312" w:cs="仿宋_GB2312"/>
          <w:sz w:val="32"/>
          <w:szCs w:val="32"/>
          <w:highlight w:val="none"/>
          <w:lang w:val="en-US" w:eastAsia="zh-CN"/>
        </w:rPr>
        <w:t>10.92亿</w:t>
      </w:r>
      <w:r>
        <w:rPr>
          <w:rFonts w:hint="eastAsia" w:ascii="仿宋_GB2312" w:hAnsi="仿宋_GB2312" w:eastAsia="仿宋_GB2312" w:cs="仿宋_GB2312"/>
          <w:sz w:val="32"/>
          <w:szCs w:val="32"/>
          <w:highlight w:val="none"/>
          <w:lang w:val="zh-CN" w:eastAsia="zh-CN"/>
        </w:rPr>
        <w:t>元，第二产业</w:t>
      </w:r>
      <w:r>
        <w:rPr>
          <w:rFonts w:hint="eastAsia" w:ascii="仿宋_GB2312" w:hAnsi="仿宋_GB2312" w:eastAsia="仿宋_GB2312" w:cs="仿宋_GB2312"/>
          <w:sz w:val="32"/>
          <w:szCs w:val="32"/>
          <w:highlight w:val="none"/>
          <w:lang w:val="en-US" w:eastAsia="zh-CN"/>
        </w:rPr>
        <w:t>2.55亿</w:t>
      </w:r>
      <w:r>
        <w:rPr>
          <w:rFonts w:hint="eastAsia" w:ascii="仿宋_GB2312" w:hAnsi="仿宋_GB2312" w:eastAsia="仿宋_GB2312" w:cs="仿宋_GB2312"/>
          <w:sz w:val="32"/>
          <w:szCs w:val="32"/>
          <w:highlight w:val="none"/>
          <w:lang w:val="zh-CN" w:eastAsia="zh-CN"/>
        </w:rPr>
        <w:t>元，第三产业</w:t>
      </w:r>
      <w:r>
        <w:rPr>
          <w:rFonts w:hint="eastAsia" w:ascii="仿宋_GB2312" w:hAnsi="仿宋_GB2312" w:eastAsia="仿宋_GB2312" w:cs="仿宋_GB2312"/>
          <w:sz w:val="32"/>
          <w:szCs w:val="32"/>
          <w:highlight w:val="none"/>
          <w:lang w:val="en-US" w:eastAsia="zh-CN"/>
        </w:rPr>
        <w:t>2.43亿</w:t>
      </w:r>
      <w:r>
        <w:rPr>
          <w:rFonts w:hint="eastAsia" w:ascii="仿宋_GB2312" w:hAnsi="仿宋_GB2312" w:eastAsia="仿宋_GB2312" w:cs="仿宋_GB2312"/>
          <w:sz w:val="32"/>
          <w:szCs w:val="32"/>
          <w:highlight w:val="none"/>
          <w:lang w:val="zh-CN" w:eastAsia="zh-CN"/>
        </w:rPr>
        <w:t>元。地方财政收入</w:t>
      </w:r>
      <w:r>
        <w:rPr>
          <w:rFonts w:hint="eastAsia" w:ascii="仿宋_GB2312" w:hAnsi="仿宋_GB2312" w:eastAsia="仿宋_GB2312" w:cs="仿宋_GB2312"/>
          <w:sz w:val="32"/>
          <w:szCs w:val="32"/>
          <w:highlight w:val="none"/>
          <w:lang w:val="en-US" w:eastAsia="zh-CN"/>
        </w:rPr>
        <w:t>720</w:t>
      </w:r>
      <w:r>
        <w:rPr>
          <w:rFonts w:hint="eastAsia" w:ascii="仿宋_GB2312" w:hAnsi="仿宋_GB2312" w:eastAsia="仿宋_GB2312" w:cs="仿宋_GB2312"/>
          <w:sz w:val="32"/>
          <w:szCs w:val="32"/>
          <w:highlight w:val="none"/>
          <w:lang w:val="zh-CN" w:eastAsia="zh-CN"/>
        </w:rPr>
        <w:t>万元，同比增长</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lang w:val="zh-CN" w:eastAsia="zh-CN"/>
        </w:rPr>
        <w:t>%。完成固定资产投资1</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lang w:val="zh-CN" w:eastAsia="zh-CN"/>
        </w:rPr>
        <w:t>亿元，同比增长</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lang w:val="zh-CN" w:eastAsia="zh-CN"/>
        </w:rPr>
        <w:t>%。</w:t>
      </w: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一年来，我们主要做了以下工作：</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一、稳增长保发展，维护经济社会秩序</w:t>
      </w:r>
    </w:p>
    <w:p>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坚持党委统筹全局。</w:t>
      </w:r>
      <w:r>
        <w:rPr>
          <w:rFonts w:hint="eastAsia" w:ascii="仿宋_GB2312" w:hAnsi="仿宋_GB2312" w:eastAsia="仿宋_GB2312" w:cs="仿宋_GB2312"/>
          <w:sz w:val="32"/>
          <w:szCs w:val="32"/>
          <w:highlight w:val="none"/>
          <w:lang w:val="en-US" w:eastAsia="zh-CN"/>
        </w:rPr>
        <w:t>为稳定市场商家，保障企业正常生产，我们派出以镇主要领导带队的工作组，对全镇各家企业和商家提供了多项复工复产服务，包括洋泰网具厂等10余家企业，均于3月初复工复产。</w:t>
      </w:r>
      <w:r>
        <w:rPr>
          <w:rFonts w:hint="eastAsia" w:ascii="仿宋_GB2312" w:hAnsi="仿宋_GB2312" w:eastAsia="仿宋_GB2312" w:cs="仿宋_GB2312"/>
          <w:b/>
          <w:bCs/>
          <w:sz w:val="32"/>
          <w:szCs w:val="32"/>
          <w:highlight w:val="none"/>
          <w:lang w:val="en-US" w:eastAsia="zh-CN"/>
        </w:rPr>
        <w:t>用好国家优惠政策。</w:t>
      </w:r>
      <w:r>
        <w:rPr>
          <w:rFonts w:hint="eastAsia" w:ascii="仿宋_GB2312" w:hAnsi="仿宋_GB2312" w:eastAsia="仿宋_GB2312" w:cs="仿宋_GB2312"/>
          <w:sz w:val="32"/>
          <w:szCs w:val="32"/>
          <w:highlight w:val="none"/>
          <w:lang w:val="en-US" w:eastAsia="zh-CN"/>
        </w:rPr>
        <w:t>我们为同仁木业等企业申请稳岗补助、减免税费，助力企业恢复生产。</w:t>
      </w:r>
      <w:r>
        <w:rPr>
          <w:rFonts w:hint="eastAsia" w:ascii="仿宋_GB2312" w:hAnsi="仿宋_GB2312" w:eastAsia="仿宋_GB2312" w:cs="仿宋_GB2312"/>
          <w:b/>
          <w:bCs/>
          <w:sz w:val="32"/>
          <w:szCs w:val="32"/>
          <w:highlight w:val="none"/>
          <w:lang w:val="en-US" w:eastAsia="zh-CN"/>
        </w:rPr>
        <w:t>统筹防疫物资调配。</w:t>
      </w:r>
      <w:r>
        <w:rPr>
          <w:rFonts w:hint="eastAsia" w:ascii="仿宋_GB2312" w:hAnsi="仿宋_GB2312" w:eastAsia="仿宋_GB2312" w:cs="仿宋_GB2312"/>
          <w:sz w:val="32"/>
          <w:szCs w:val="32"/>
          <w:highlight w:val="none"/>
          <w:lang w:val="en-US" w:eastAsia="zh-CN"/>
        </w:rPr>
        <w:t>紧急采购口罩2万个，并及时分发到防疫干部、重点地区返乡人员手中。做好学生返校复学工作，加强巡查，稳定物价，在坚持“内防扩散、外防输入”的基础上，推动全镇经济社会秩序有序恢复。</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二、着力固本强基，提升农渔产业效益</w:t>
      </w:r>
    </w:p>
    <w:p>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做好产业调整。</w:t>
      </w:r>
      <w:r>
        <w:rPr>
          <w:rFonts w:hint="eastAsia" w:ascii="仿宋_GB2312" w:hAnsi="仿宋_GB2312" w:eastAsia="仿宋_GB2312" w:cs="仿宋_GB2312"/>
          <w:sz w:val="32"/>
          <w:szCs w:val="32"/>
          <w:highlight w:val="none"/>
          <w:lang w:val="en-US" w:eastAsia="zh-CN"/>
        </w:rPr>
        <w:t>我们坚持市场导向，推动农业产业调整，2020年共种植番薯、西瓜38658亩，产量约9.3万吨，产值1.77亿元。开展水产养殖1800多亩。</w:t>
      </w:r>
      <w:r>
        <w:rPr>
          <w:rFonts w:hint="eastAsia" w:ascii="仿宋_GB2312" w:hAnsi="仿宋_GB2312" w:eastAsia="仿宋_GB2312" w:cs="仿宋_GB2312"/>
          <w:b/>
          <w:bCs/>
          <w:sz w:val="32"/>
          <w:szCs w:val="32"/>
          <w:highlight w:val="none"/>
          <w:lang w:val="en-US" w:eastAsia="zh-CN"/>
        </w:rPr>
        <w:t>加强农业保障。</w:t>
      </w:r>
      <w:r>
        <w:rPr>
          <w:rFonts w:hint="eastAsia" w:ascii="仿宋_GB2312" w:hAnsi="仿宋_GB2312" w:eastAsia="仿宋_GB2312" w:cs="仿宋_GB2312"/>
          <w:sz w:val="32"/>
          <w:szCs w:val="32"/>
          <w:highlight w:val="none"/>
          <w:lang w:val="en-US" w:eastAsia="zh-CN"/>
        </w:rPr>
        <w:t>动员群众购买“水稻保险”累计1.22万亩，群众因灾情获赔金额44.1万元。购买甘蔗保险累计3.31万亩，群众因灾情获赔金额59.5万元，大大降低了群众的损失。</w:t>
      </w:r>
      <w:r>
        <w:rPr>
          <w:rFonts w:hint="eastAsia" w:ascii="仿宋_GB2312" w:hAnsi="仿宋_GB2312" w:eastAsia="仿宋_GB2312" w:cs="仿宋_GB2312"/>
          <w:b/>
          <w:bCs/>
          <w:sz w:val="32"/>
          <w:szCs w:val="32"/>
          <w:highlight w:val="none"/>
          <w:lang w:val="en-US" w:eastAsia="zh-CN"/>
        </w:rPr>
        <w:t>聚焦渔业工作。</w:t>
      </w:r>
      <w:r>
        <w:rPr>
          <w:rFonts w:hint="eastAsia" w:ascii="仿宋_GB2312" w:hAnsi="仿宋_GB2312" w:eastAsia="仿宋_GB2312" w:cs="仿宋_GB2312"/>
          <w:sz w:val="32"/>
          <w:szCs w:val="32"/>
          <w:highlight w:val="none"/>
          <w:lang w:val="en-US" w:eastAsia="zh-CN"/>
        </w:rPr>
        <w:t>做好政策宣传，落实渔民的燃油和休渔补贴，全年办理休渔补贴共286艘船675人，补贴金额共141.75万元，捕捞渔船的燃油补贴惠及190余艘船。</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三、加快乡村建设，建设生态宜居港门</w:t>
      </w:r>
    </w:p>
    <w:p>
      <w:pPr>
        <w:ind w:firstLine="643" w:firstLineChars="200"/>
        <w:rPr>
          <w:rFonts w:hint="eastAsia" w:ascii="仿宋_GB2312" w:hAnsi="仿宋_GB2312" w:eastAsia="仿宋_GB2312" w:cs="仿宋_GB2312"/>
          <w:sz w:val="32"/>
          <w:szCs w:val="32"/>
          <w:highlight w:val="none"/>
          <w:lang w:val="en-US" w:eastAsia="zh-CN"/>
        </w:rPr>
      </w:pPr>
      <w:bookmarkStart w:id="0" w:name="_Hlk34217761"/>
      <w:r>
        <w:rPr>
          <w:rFonts w:hint="eastAsia" w:ascii="仿宋_GB2312" w:hAnsi="仿宋_GB2312" w:eastAsia="仿宋_GB2312" w:cs="仿宋_GB2312"/>
          <w:b/>
          <w:bCs/>
          <w:sz w:val="32"/>
          <w:szCs w:val="32"/>
          <w:highlight w:val="none"/>
          <w:lang w:val="en-US" w:eastAsia="zh-CN"/>
        </w:rPr>
        <w:t>交通基础设施逐步完善。</w:t>
      </w:r>
      <w:r>
        <w:rPr>
          <w:rFonts w:hint="eastAsia" w:ascii="仿宋_GB2312" w:hAnsi="仿宋_GB2312" w:eastAsia="仿宋_GB2312" w:cs="仿宋_GB2312"/>
          <w:sz w:val="32"/>
          <w:szCs w:val="32"/>
          <w:highlight w:val="none"/>
          <w:lang w:eastAsia="zh-CN"/>
        </w:rPr>
        <w:t>投资</w:t>
      </w:r>
      <w:r>
        <w:rPr>
          <w:rFonts w:hint="eastAsia" w:ascii="仿宋_GB2312" w:hAnsi="仿宋_GB2312" w:eastAsia="仿宋_GB2312" w:cs="仿宋_GB2312"/>
          <w:sz w:val="32"/>
          <w:szCs w:val="32"/>
          <w:highlight w:val="none"/>
          <w:lang w:val="en-US" w:eastAsia="zh-CN"/>
        </w:rPr>
        <w:t>3633万元，建设乐民河大桥项目与县道X684延长线建设项目；投资1300万元，对县道X683进行拓宽升级改造。</w:t>
      </w:r>
      <w:r>
        <w:rPr>
          <w:rFonts w:hint="eastAsia" w:ascii="仿宋_GB2312" w:hAnsi="仿宋_GB2312" w:eastAsia="仿宋_GB2312" w:cs="仿宋_GB2312"/>
          <w:sz w:val="32"/>
          <w:szCs w:val="32"/>
          <w:highlight w:val="none"/>
          <w:lang w:eastAsia="zh-CN"/>
        </w:rPr>
        <w:t>推进“四好农村路”项目建设，</w:t>
      </w:r>
      <w:r>
        <w:rPr>
          <w:rFonts w:hint="eastAsia" w:ascii="仿宋_GB2312" w:hAnsi="仿宋_GB2312" w:eastAsia="仿宋_GB2312" w:cs="仿宋_GB2312"/>
          <w:sz w:val="32"/>
          <w:szCs w:val="32"/>
          <w:highlight w:val="none"/>
        </w:rPr>
        <w:t>镇村交通</w:t>
      </w:r>
      <w:r>
        <w:rPr>
          <w:rFonts w:hint="eastAsia" w:ascii="仿宋_GB2312" w:hAnsi="仿宋_GB2312" w:eastAsia="仿宋_GB2312" w:cs="仿宋_GB2312"/>
          <w:sz w:val="32"/>
          <w:szCs w:val="32"/>
          <w:highlight w:val="none"/>
          <w:lang w:eastAsia="zh-CN"/>
        </w:rPr>
        <w:t>水平</w:t>
      </w:r>
      <w:r>
        <w:rPr>
          <w:rFonts w:hint="eastAsia" w:ascii="仿宋_GB2312" w:hAnsi="仿宋_GB2312" w:eastAsia="仿宋_GB2312" w:cs="仿宋_GB2312"/>
          <w:sz w:val="32"/>
          <w:szCs w:val="32"/>
          <w:highlight w:val="none"/>
          <w:lang w:val="en-US" w:eastAsia="zh-CN"/>
        </w:rPr>
        <w:t>显著</w:t>
      </w:r>
      <w:r>
        <w:rPr>
          <w:rFonts w:hint="eastAsia" w:ascii="仿宋_GB2312" w:hAnsi="仿宋_GB2312" w:eastAsia="仿宋_GB2312" w:cs="仿宋_GB2312"/>
          <w:sz w:val="32"/>
          <w:szCs w:val="32"/>
          <w:highlight w:val="none"/>
          <w:lang w:val="zh-CN"/>
        </w:rPr>
        <w:t>改善。</w:t>
      </w:r>
      <w:r>
        <w:rPr>
          <w:rFonts w:hint="eastAsia" w:ascii="仿宋_GB2312" w:hAnsi="仿宋_GB2312" w:eastAsia="仿宋_GB2312" w:cs="仿宋_GB2312"/>
          <w:b/>
          <w:bCs/>
          <w:sz w:val="32"/>
          <w:szCs w:val="32"/>
          <w:highlight w:val="none"/>
          <w:lang w:val="en-US" w:eastAsia="zh-CN"/>
        </w:rPr>
        <w:t>对</w:t>
      </w:r>
      <w:r>
        <w:rPr>
          <w:rFonts w:hint="eastAsia" w:ascii="仿宋_GB2312" w:hAnsi="仿宋_GB2312" w:eastAsia="仿宋_GB2312" w:cs="仿宋_GB2312"/>
          <w:b/>
          <w:bCs/>
          <w:sz w:val="32"/>
          <w:szCs w:val="32"/>
          <w:highlight w:val="none"/>
          <w:lang w:val="zh-CN" w:eastAsia="zh-CN"/>
        </w:rPr>
        <w:t>镇村清洁</w:t>
      </w:r>
      <w:r>
        <w:rPr>
          <w:rFonts w:hint="eastAsia" w:ascii="仿宋_GB2312" w:hAnsi="仿宋_GB2312" w:eastAsia="仿宋_GB2312" w:cs="仿宋_GB2312"/>
          <w:b/>
          <w:bCs/>
          <w:sz w:val="32"/>
          <w:szCs w:val="32"/>
          <w:highlight w:val="none"/>
          <w:lang w:val="en-US" w:eastAsia="zh-CN"/>
        </w:rPr>
        <w:t>工程加大投入。</w:t>
      </w:r>
      <w:r>
        <w:rPr>
          <w:rFonts w:hint="eastAsia" w:ascii="仿宋_GB2312" w:hAnsi="仿宋_GB2312" w:eastAsia="仿宋_GB2312" w:cs="仿宋_GB2312"/>
          <w:sz w:val="32"/>
          <w:szCs w:val="32"/>
          <w:highlight w:val="none"/>
          <w:lang w:val="en-US" w:eastAsia="zh-CN"/>
        </w:rPr>
        <w:t>投入约2500万元，铺设</w:t>
      </w:r>
      <w:r>
        <w:rPr>
          <w:rFonts w:hint="eastAsia" w:ascii="仿宋_GB2312" w:hAnsi="仿宋_GB2312" w:eastAsia="仿宋_GB2312" w:cs="仿宋_GB2312"/>
          <w:sz w:val="32"/>
          <w:szCs w:val="32"/>
          <w:highlight w:val="none"/>
          <w:lang w:eastAsia="zh-CN"/>
        </w:rPr>
        <w:t>生活污水</w:t>
      </w:r>
      <w:r>
        <w:rPr>
          <w:rFonts w:hint="eastAsia" w:ascii="仿宋_GB2312" w:hAnsi="仿宋_GB2312" w:eastAsia="仿宋_GB2312" w:cs="仿宋_GB2312"/>
          <w:sz w:val="32"/>
          <w:szCs w:val="32"/>
          <w:highlight w:val="none"/>
        </w:rPr>
        <w:t>管网</w:t>
      </w:r>
      <w:r>
        <w:rPr>
          <w:rFonts w:hint="eastAsia" w:ascii="仿宋_GB2312" w:hAnsi="仿宋_GB2312" w:eastAsia="仿宋_GB2312" w:cs="仿宋_GB2312"/>
          <w:sz w:val="32"/>
          <w:szCs w:val="32"/>
          <w:highlight w:val="none"/>
          <w:lang w:eastAsia="zh-CN"/>
        </w:rPr>
        <w:t>，建设</w:t>
      </w:r>
      <w:r>
        <w:rPr>
          <w:rFonts w:hint="eastAsia" w:ascii="仿宋_GB2312" w:hAnsi="仿宋_GB2312" w:eastAsia="仿宋_GB2312" w:cs="仿宋_GB2312"/>
          <w:sz w:val="32"/>
          <w:szCs w:val="32"/>
          <w:highlight w:val="none"/>
          <w:lang w:val="en-US" w:eastAsia="zh-CN"/>
        </w:rPr>
        <w:t>生活污水处理终端</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为105</w:t>
      </w:r>
      <w:r>
        <w:rPr>
          <w:rFonts w:hint="eastAsia" w:ascii="仿宋_GB2312" w:hAnsi="仿宋_GB2312" w:eastAsia="仿宋_GB2312" w:cs="仿宋_GB2312"/>
          <w:sz w:val="32"/>
          <w:szCs w:val="32"/>
          <w:highlight w:val="none"/>
        </w:rPr>
        <w:t>条自然村配备</w:t>
      </w:r>
      <w:r>
        <w:rPr>
          <w:rFonts w:hint="eastAsia" w:ascii="仿宋_GB2312" w:hAnsi="仿宋_GB2312" w:eastAsia="仿宋_GB2312" w:cs="仿宋_GB2312"/>
          <w:sz w:val="32"/>
          <w:szCs w:val="32"/>
          <w:highlight w:val="none"/>
          <w:lang w:val="en-US" w:eastAsia="zh-CN"/>
        </w:rPr>
        <w:t>163名</w:t>
      </w:r>
      <w:r>
        <w:rPr>
          <w:rFonts w:hint="eastAsia" w:ascii="仿宋_GB2312" w:hAnsi="仿宋_GB2312" w:eastAsia="仿宋_GB2312" w:cs="仿宋_GB2312"/>
          <w:sz w:val="32"/>
          <w:szCs w:val="32"/>
          <w:highlight w:val="none"/>
        </w:rPr>
        <w:t>保洁员</w:t>
      </w:r>
      <w:r>
        <w:rPr>
          <w:rFonts w:hint="eastAsia" w:ascii="仿宋_GB2312" w:hAnsi="仿宋_GB2312" w:eastAsia="仿宋_GB2312" w:cs="仿宋_GB2312"/>
          <w:sz w:val="32"/>
          <w:szCs w:val="32"/>
          <w:highlight w:val="none"/>
          <w:lang w:val="en-US" w:eastAsia="zh-CN"/>
        </w:rPr>
        <w:t>；建设垃圾收集点173处，</w:t>
      </w:r>
      <w:r>
        <w:rPr>
          <w:rFonts w:hint="eastAsia" w:ascii="仿宋_GB2312" w:hAnsi="仿宋_GB2312" w:eastAsia="仿宋_GB2312" w:cs="仿宋_GB2312"/>
          <w:sz w:val="32"/>
          <w:szCs w:val="32"/>
          <w:highlight w:val="none"/>
        </w:rPr>
        <w:t>投放垃圾桶</w:t>
      </w:r>
      <w:r>
        <w:rPr>
          <w:rFonts w:hint="eastAsia" w:ascii="仿宋_GB2312" w:hAnsi="仿宋_GB2312" w:eastAsia="仿宋_GB2312" w:cs="仿宋_GB2312"/>
          <w:sz w:val="32"/>
          <w:szCs w:val="32"/>
          <w:highlight w:val="none"/>
          <w:lang w:val="en-US" w:eastAsia="zh-CN"/>
        </w:rPr>
        <w:t>2200</w:t>
      </w:r>
      <w:r>
        <w:rPr>
          <w:rFonts w:hint="eastAsia" w:ascii="仿宋_GB2312" w:hAnsi="仿宋_GB2312" w:eastAsia="仿宋_GB2312" w:cs="仿宋_GB2312"/>
          <w:sz w:val="32"/>
          <w:szCs w:val="32"/>
          <w:highlight w:val="none"/>
        </w:rPr>
        <w:t>个，配置垃圾收集电动车</w:t>
      </w:r>
      <w:r>
        <w:rPr>
          <w:rFonts w:hint="eastAsia" w:ascii="仿宋_GB2312" w:hAnsi="仿宋_GB2312" w:eastAsia="仿宋_GB2312" w:cs="仿宋_GB2312"/>
          <w:sz w:val="32"/>
          <w:szCs w:val="32"/>
          <w:highlight w:val="none"/>
          <w:lang w:val="en-US" w:eastAsia="zh-CN"/>
        </w:rPr>
        <w:t>20</w:t>
      </w:r>
      <w:r>
        <w:rPr>
          <w:rFonts w:hint="eastAsia" w:ascii="仿宋_GB2312" w:hAnsi="仿宋_GB2312" w:eastAsia="仿宋_GB2312" w:cs="仿宋_GB2312"/>
          <w:sz w:val="32"/>
          <w:szCs w:val="32"/>
          <w:highlight w:val="none"/>
        </w:rPr>
        <w:t>辆，</w:t>
      </w:r>
      <w:r>
        <w:rPr>
          <w:rFonts w:hint="eastAsia" w:ascii="仿宋_GB2312" w:hAnsi="仿宋_GB2312" w:eastAsia="仿宋_GB2312" w:cs="仿宋_GB2312"/>
          <w:sz w:val="32"/>
          <w:szCs w:val="32"/>
          <w:highlight w:val="none"/>
          <w:lang w:eastAsia="zh-CN"/>
        </w:rPr>
        <w:t>严格落实“村集中、镇转运、县处理”的工作机制。</w:t>
      </w:r>
      <w:r>
        <w:rPr>
          <w:rFonts w:hint="eastAsia" w:ascii="仿宋_GB2312" w:hAnsi="仿宋_GB2312" w:eastAsia="仿宋_GB2312" w:cs="仿宋_GB2312"/>
          <w:b/>
          <w:bCs/>
          <w:sz w:val="32"/>
          <w:szCs w:val="32"/>
          <w:highlight w:val="none"/>
          <w:lang w:val="en-US" w:eastAsia="zh-CN"/>
        </w:rPr>
        <w:t>村村通自来水工程不断推进</w:t>
      </w:r>
      <w:bookmarkEnd w:id="0"/>
      <w:r>
        <w:rPr>
          <w:rFonts w:hint="eastAsia" w:ascii="仿宋_GB2312" w:hAnsi="仿宋_GB2312" w:eastAsia="仿宋_GB2312" w:cs="仿宋_GB2312"/>
          <w:b/>
          <w:bCs/>
          <w:sz w:val="32"/>
          <w:szCs w:val="32"/>
          <w:highlight w:val="none"/>
          <w:lang w:val="en-US" w:eastAsia="zh-CN"/>
        </w:rPr>
        <w:t>。</w:t>
      </w:r>
      <w:r>
        <w:rPr>
          <w:rFonts w:hint="eastAsia" w:ascii="仿宋_GB2312" w:hAnsi="仿宋_GB2312" w:eastAsia="仿宋_GB2312" w:cs="仿宋_GB2312"/>
          <w:sz w:val="32"/>
          <w:szCs w:val="32"/>
          <w:highlight w:val="none"/>
          <w:lang w:val="en-US" w:eastAsia="zh-CN"/>
        </w:rPr>
        <w:t>2020年，投入277.9</w:t>
      </w:r>
      <w:r>
        <w:rPr>
          <w:rFonts w:hint="eastAsia" w:ascii="仿宋_GB2312" w:hAnsi="仿宋_GB2312" w:eastAsia="仿宋_GB2312" w:cs="仿宋_GB2312"/>
          <w:sz w:val="32"/>
          <w:szCs w:val="32"/>
          <w:highlight w:val="none"/>
          <w:lang w:eastAsia="zh-CN"/>
        </w:rPr>
        <w:t>万元，</w:t>
      </w:r>
      <w:r>
        <w:rPr>
          <w:rFonts w:hint="eastAsia" w:ascii="仿宋_GB2312" w:hAnsi="仿宋_GB2312" w:eastAsia="仿宋_GB2312" w:cs="仿宋_GB2312"/>
          <w:sz w:val="32"/>
          <w:szCs w:val="32"/>
          <w:highlight w:val="none"/>
          <w:lang w:val="en-US" w:eastAsia="zh-CN"/>
        </w:rPr>
        <w:t>完成29条自然村饮水工程的建设和验收，包括</w:t>
      </w:r>
      <w:r>
        <w:rPr>
          <w:rFonts w:hint="eastAsia" w:ascii="仿宋_GB2312" w:hAnsi="仿宋_GB2312" w:eastAsia="仿宋_GB2312" w:cs="仿宋_GB2312"/>
          <w:sz w:val="32"/>
          <w:szCs w:val="32"/>
          <w:highlight w:val="none"/>
          <w:lang w:eastAsia="zh-CN"/>
        </w:rPr>
        <w:t>江屋、后东等</w:t>
      </w:r>
      <w:r>
        <w:rPr>
          <w:rFonts w:hint="eastAsia" w:ascii="仿宋_GB2312" w:hAnsi="仿宋_GB2312" w:eastAsia="仿宋_GB2312" w:cs="仿宋_GB2312"/>
          <w:sz w:val="32"/>
          <w:szCs w:val="32"/>
          <w:highlight w:val="none"/>
          <w:lang w:val="en-US" w:eastAsia="zh-CN"/>
        </w:rPr>
        <w:t>自然村。</w:t>
      </w:r>
      <w:r>
        <w:rPr>
          <w:rFonts w:hint="eastAsia" w:ascii="仿宋_GB2312" w:hAnsi="仿宋_GB2312" w:eastAsia="仿宋_GB2312" w:cs="仿宋_GB2312"/>
          <w:b/>
          <w:bCs/>
          <w:sz w:val="32"/>
          <w:szCs w:val="32"/>
          <w:highlight w:val="none"/>
          <w:lang w:val="en-US" w:eastAsia="zh-CN"/>
        </w:rPr>
        <w:t>人居环境整治继续深入。</w:t>
      </w:r>
      <w:r>
        <w:rPr>
          <w:rFonts w:hint="eastAsia" w:ascii="仿宋_GB2312" w:hAnsi="仿宋_GB2312" w:eastAsia="仿宋_GB2312" w:cs="仿宋_GB2312"/>
          <w:sz w:val="32"/>
          <w:szCs w:val="32"/>
          <w:highlight w:val="none"/>
        </w:rPr>
        <w:t>投入</w:t>
      </w:r>
      <w:r>
        <w:rPr>
          <w:rFonts w:hint="eastAsia" w:ascii="仿宋_GB2312" w:hAnsi="仿宋_GB2312" w:eastAsia="仿宋_GB2312" w:cs="仿宋_GB2312"/>
          <w:sz w:val="32"/>
          <w:szCs w:val="32"/>
          <w:highlight w:val="none"/>
          <w:lang w:val="en-US" w:eastAsia="zh-CN"/>
        </w:rPr>
        <w:t>274</w:t>
      </w:r>
      <w:r>
        <w:rPr>
          <w:rFonts w:hint="eastAsia" w:ascii="仿宋_GB2312" w:hAnsi="仿宋_GB2312" w:eastAsia="仿宋_GB2312" w:cs="仿宋_GB2312"/>
          <w:sz w:val="32"/>
          <w:szCs w:val="32"/>
          <w:highlight w:val="none"/>
        </w:rPr>
        <w:t>万元开展“三清三拆三整治”，拆除危旧弃房</w:t>
      </w:r>
      <w:r>
        <w:rPr>
          <w:rFonts w:hint="eastAsia" w:ascii="仿宋_GB2312" w:hAnsi="仿宋_GB2312" w:eastAsia="仿宋_GB2312" w:cs="仿宋_GB2312"/>
          <w:sz w:val="32"/>
          <w:szCs w:val="32"/>
          <w:highlight w:val="none"/>
          <w:lang w:val="en-US" w:eastAsia="zh-CN"/>
        </w:rPr>
        <w:t>367</w:t>
      </w:r>
      <w:r>
        <w:rPr>
          <w:rFonts w:hint="eastAsia" w:ascii="仿宋_GB2312" w:hAnsi="仿宋_GB2312" w:eastAsia="仿宋_GB2312" w:cs="仿宋_GB2312"/>
          <w:sz w:val="32"/>
          <w:szCs w:val="32"/>
          <w:highlight w:val="none"/>
        </w:rPr>
        <w:t>间，拆除废弃猪牛栏、乱搭乱建</w:t>
      </w:r>
      <w:r>
        <w:rPr>
          <w:rFonts w:hint="eastAsia" w:ascii="仿宋_GB2312" w:hAnsi="仿宋_GB2312" w:eastAsia="仿宋_GB2312" w:cs="仿宋_GB2312"/>
          <w:sz w:val="32"/>
          <w:szCs w:val="32"/>
          <w:highlight w:val="none"/>
          <w:lang w:val="en-US" w:eastAsia="zh-CN"/>
        </w:rPr>
        <w:t>469</w:t>
      </w:r>
      <w:r>
        <w:rPr>
          <w:rFonts w:hint="eastAsia" w:ascii="仿宋_GB2312" w:hAnsi="仿宋_GB2312" w:eastAsia="仿宋_GB2312" w:cs="仿宋_GB2312"/>
          <w:sz w:val="32"/>
          <w:szCs w:val="32"/>
          <w:highlight w:val="none"/>
        </w:rPr>
        <w:t>处；无害化卫生户厕普及率</w:t>
      </w:r>
      <w:r>
        <w:rPr>
          <w:rFonts w:hint="eastAsia" w:ascii="仿宋_GB2312" w:hAnsi="仿宋_GB2312" w:eastAsia="仿宋_GB2312" w:cs="仿宋_GB2312"/>
          <w:sz w:val="32"/>
          <w:szCs w:val="32"/>
          <w:highlight w:val="none"/>
          <w:lang w:eastAsia="zh-CN"/>
        </w:rPr>
        <w:t>达</w:t>
      </w:r>
      <w:r>
        <w:rPr>
          <w:rFonts w:hint="eastAsia" w:ascii="仿宋_GB2312" w:hAnsi="仿宋_GB2312" w:eastAsia="仿宋_GB2312" w:cs="仿宋_GB2312"/>
          <w:sz w:val="32"/>
          <w:szCs w:val="32"/>
          <w:highlight w:val="none"/>
          <w:lang w:val="en-US" w:eastAsia="zh-CN"/>
        </w:rPr>
        <w:t>100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lang w:val="en-US" w:eastAsia="zh-CN"/>
        </w:rPr>
        <w:t>完善河长巡查制度。</w:t>
      </w:r>
      <w:r>
        <w:rPr>
          <w:rFonts w:hint="eastAsia" w:ascii="仿宋_GB2312" w:hAnsi="仿宋_GB2312" w:eastAsia="仿宋_GB2312" w:cs="仿宋_GB2312"/>
          <w:sz w:val="32"/>
          <w:szCs w:val="32"/>
          <w:highlight w:val="none"/>
          <w:lang w:val="en-US" w:eastAsia="zh-CN"/>
        </w:rPr>
        <w:t>积极开展巡河和“五清”行动，镇村两级河长共巡河履职531人次，疏通河道1.1公里，清淤物350多吨，累计投入资金6.52万元。</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四、积极改善民生，增强群众获得感</w:t>
      </w:r>
    </w:p>
    <w:p>
      <w:pPr>
        <w:numPr>
          <w:ilvl w:val="0"/>
          <w:numId w:val="0"/>
        </w:num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稳脱贫，保民生。</w:t>
      </w:r>
      <w:r>
        <w:rPr>
          <w:rFonts w:hint="eastAsia" w:ascii="仿宋_GB2312" w:hAnsi="仿宋_GB2312" w:eastAsia="仿宋_GB2312" w:cs="仿宋_GB2312"/>
          <w:sz w:val="32"/>
          <w:szCs w:val="32"/>
          <w:highlight w:val="none"/>
          <w:lang w:eastAsia="zh-CN"/>
        </w:rPr>
        <w:t>牢牢把握脱贫攻坚总目标，</w:t>
      </w:r>
      <w:r>
        <w:rPr>
          <w:rFonts w:hint="eastAsia" w:ascii="仿宋_GB2312" w:hAnsi="仿宋_GB2312" w:eastAsia="仿宋_GB2312" w:cs="仿宋_GB2312"/>
          <w:sz w:val="32"/>
          <w:szCs w:val="32"/>
          <w:highlight w:val="none"/>
          <w:lang w:val="en-US" w:eastAsia="zh-CN"/>
        </w:rPr>
        <w:t>严格遵循</w:t>
      </w:r>
      <w:r>
        <w:rPr>
          <w:rFonts w:hint="eastAsia" w:ascii="仿宋_GB2312" w:hAnsi="仿宋_GB2312" w:eastAsia="仿宋_GB2312" w:cs="仿宋_GB2312"/>
          <w:sz w:val="32"/>
          <w:szCs w:val="32"/>
          <w:highlight w:val="none"/>
          <w:lang w:eastAsia="zh-CN"/>
        </w:rPr>
        <w:t>“两不愁</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三保障”</w:t>
      </w:r>
      <w:r>
        <w:rPr>
          <w:rFonts w:hint="eastAsia" w:ascii="仿宋_GB2312" w:hAnsi="仿宋_GB2312" w:eastAsia="仿宋_GB2312" w:cs="仿宋_GB2312"/>
          <w:sz w:val="32"/>
          <w:szCs w:val="32"/>
          <w:highlight w:val="none"/>
          <w:lang w:val="en-US" w:eastAsia="zh-CN"/>
        </w:rPr>
        <w:t>要求</w:t>
      </w:r>
      <w:r>
        <w:rPr>
          <w:rFonts w:hint="eastAsia" w:ascii="仿宋_GB2312" w:hAnsi="仿宋_GB2312" w:eastAsia="仿宋_GB2312" w:cs="仿宋_GB2312"/>
          <w:sz w:val="32"/>
          <w:szCs w:val="32"/>
          <w:highlight w:val="none"/>
          <w:lang w:eastAsia="zh-CN"/>
        </w:rPr>
        <w:t>，着力补短板、强弱项，截至</w:t>
      </w:r>
      <w:r>
        <w:rPr>
          <w:rFonts w:hint="eastAsia" w:ascii="仿宋_GB2312" w:hAnsi="仿宋_GB2312" w:eastAsia="仿宋_GB2312" w:cs="仿宋_GB2312"/>
          <w:sz w:val="32"/>
          <w:szCs w:val="32"/>
          <w:highlight w:val="none"/>
          <w:lang w:val="en-US" w:eastAsia="zh-CN"/>
        </w:rPr>
        <w:t>2020年底，</w:t>
      </w:r>
      <w:r>
        <w:rPr>
          <w:rFonts w:hint="eastAsia" w:ascii="仿宋_GB2312" w:hAnsi="仿宋_GB2312" w:eastAsia="仿宋_GB2312" w:cs="仿宋_GB2312"/>
          <w:sz w:val="32"/>
          <w:szCs w:val="32"/>
          <w:highlight w:val="none"/>
          <w:lang w:eastAsia="zh-CN"/>
        </w:rPr>
        <w:t>我镇已</w:t>
      </w:r>
      <w:r>
        <w:rPr>
          <w:rFonts w:hint="eastAsia" w:ascii="仿宋_GB2312" w:hAnsi="仿宋_GB2312" w:eastAsia="仿宋_GB2312" w:cs="仿宋_GB2312"/>
          <w:sz w:val="32"/>
          <w:szCs w:val="32"/>
          <w:highlight w:val="none"/>
          <w:lang w:val="en-US" w:eastAsia="zh-CN"/>
        </w:rPr>
        <w:t>实现</w:t>
      </w:r>
      <w:r>
        <w:rPr>
          <w:rFonts w:hint="eastAsia" w:ascii="仿宋_GB2312" w:hAnsi="仿宋_GB2312" w:eastAsia="仿宋_GB2312" w:cs="仿宋_GB2312"/>
          <w:sz w:val="32"/>
          <w:szCs w:val="32"/>
          <w:highlight w:val="none"/>
          <w:lang w:eastAsia="zh-CN"/>
        </w:rPr>
        <w:t>全面脱贫。</w:t>
      </w:r>
      <w:r>
        <w:rPr>
          <w:rFonts w:hint="eastAsia" w:ascii="仿宋_GB2312" w:hAnsi="仿宋_GB2312" w:eastAsia="仿宋_GB2312" w:cs="仿宋_GB2312"/>
          <w:b/>
          <w:bCs/>
          <w:sz w:val="32"/>
          <w:szCs w:val="32"/>
          <w:highlight w:val="none"/>
          <w:lang w:val="en-US" w:eastAsia="zh-CN"/>
        </w:rPr>
        <w:t>在扶贫救助方面。</w:t>
      </w:r>
      <w:r>
        <w:rPr>
          <w:rFonts w:hint="eastAsia" w:ascii="仿宋_GB2312" w:hAnsi="仿宋_GB2312" w:eastAsia="仿宋_GB2312" w:cs="仿宋_GB2312"/>
          <w:sz w:val="32"/>
          <w:szCs w:val="32"/>
          <w:highlight w:val="none"/>
        </w:rPr>
        <w:t>为</w:t>
      </w:r>
      <w:r>
        <w:rPr>
          <w:rFonts w:hint="eastAsia" w:ascii="仿宋_GB2312" w:hAnsi="仿宋_GB2312" w:eastAsia="仿宋_GB2312" w:cs="仿宋_GB2312"/>
          <w:sz w:val="32"/>
          <w:szCs w:val="32"/>
          <w:highlight w:val="none"/>
          <w:lang w:val="en-US" w:eastAsia="zh-CN"/>
        </w:rPr>
        <w:t>172</w:t>
      </w:r>
      <w:r>
        <w:rPr>
          <w:rFonts w:hint="eastAsia" w:ascii="仿宋_GB2312" w:hAnsi="仿宋_GB2312" w:eastAsia="仿宋_GB2312" w:cs="仿宋_GB2312"/>
          <w:sz w:val="32"/>
          <w:szCs w:val="32"/>
          <w:highlight w:val="none"/>
        </w:rPr>
        <w:t>户困难群众家庭</w:t>
      </w:r>
      <w:r>
        <w:rPr>
          <w:rFonts w:hint="eastAsia" w:ascii="仿宋_GB2312" w:hAnsi="仿宋_GB2312" w:eastAsia="仿宋_GB2312" w:cs="仿宋_GB2312"/>
          <w:sz w:val="32"/>
          <w:szCs w:val="32"/>
          <w:highlight w:val="none"/>
          <w:lang w:val="en-US" w:eastAsia="zh-CN"/>
        </w:rPr>
        <w:t>申请</w:t>
      </w:r>
      <w:r>
        <w:rPr>
          <w:rFonts w:hint="eastAsia" w:ascii="仿宋_GB2312" w:hAnsi="仿宋_GB2312" w:eastAsia="仿宋_GB2312" w:cs="仿宋_GB2312"/>
          <w:sz w:val="32"/>
          <w:szCs w:val="32"/>
          <w:highlight w:val="none"/>
        </w:rPr>
        <w:t>脱贫</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房屋修缮</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临时救助</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孤儿</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困难救助金</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建房资金</w:t>
      </w:r>
      <w:r>
        <w:rPr>
          <w:rFonts w:hint="eastAsia" w:ascii="仿宋_GB2312" w:hAnsi="仿宋_GB2312" w:eastAsia="仿宋_GB2312" w:cs="仿宋_GB2312"/>
          <w:sz w:val="32"/>
          <w:szCs w:val="32"/>
          <w:highlight w:val="none"/>
          <w:lang w:val="en-US" w:eastAsia="zh-CN"/>
        </w:rPr>
        <w:t>等扶贫救助资金，共计59.17万元</w:t>
      </w:r>
      <w:r>
        <w:rPr>
          <w:rFonts w:hint="eastAsia"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b/>
          <w:bCs/>
          <w:sz w:val="32"/>
          <w:szCs w:val="32"/>
          <w:highlight w:val="none"/>
          <w:lang w:val="en-US" w:eastAsia="zh-CN"/>
        </w:rPr>
        <w:t>在老龄与残疾方面。</w:t>
      </w:r>
      <w:r>
        <w:rPr>
          <w:rFonts w:hint="eastAsia" w:ascii="仿宋_GB2312" w:hAnsi="仿宋_GB2312" w:eastAsia="仿宋_GB2312" w:cs="仿宋_GB2312"/>
          <w:sz w:val="32"/>
          <w:szCs w:val="32"/>
          <w:highlight w:val="none"/>
        </w:rPr>
        <w:t>我镇</w:t>
      </w:r>
      <w:r>
        <w:rPr>
          <w:rFonts w:hint="eastAsia" w:ascii="仿宋_GB2312" w:hAnsi="仿宋_GB2312" w:eastAsia="仿宋_GB2312" w:cs="仿宋_GB2312"/>
          <w:sz w:val="32"/>
          <w:szCs w:val="32"/>
          <w:highlight w:val="none"/>
          <w:lang w:eastAsia="zh-CN"/>
        </w:rPr>
        <w:t>为</w:t>
      </w:r>
      <w:r>
        <w:rPr>
          <w:rFonts w:hint="eastAsia" w:ascii="仿宋_GB2312" w:hAnsi="仿宋_GB2312" w:eastAsia="仿宋_GB2312" w:cs="仿宋_GB2312"/>
          <w:sz w:val="32"/>
          <w:szCs w:val="32"/>
          <w:highlight w:val="none"/>
        </w:rPr>
        <w:t>8</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周岁</w:t>
      </w:r>
      <w:r>
        <w:rPr>
          <w:rFonts w:hint="eastAsia" w:ascii="仿宋_GB2312" w:hAnsi="仿宋_GB2312" w:eastAsia="仿宋_GB2312" w:cs="仿宋_GB2312"/>
          <w:sz w:val="32"/>
          <w:szCs w:val="32"/>
          <w:highlight w:val="none"/>
          <w:lang w:val="en-US" w:eastAsia="zh-CN"/>
        </w:rPr>
        <w:t>及以上</w:t>
      </w:r>
      <w:r>
        <w:rPr>
          <w:rFonts w:hint="eastAsia" w:ascii="仿宋_GB2312" w:hAnsi="仿宋_GB2312" w:eastAsia="仿宋_GB2312" w:cs="仿宋_GB2312"/>
          <w:sz w:val="32"/>
          <w:szCs w:val="32"/>
          <w:highlight w:val="none"/>
        </w:rPr>
        <w:t>的老人每人每月</w:t>
      </w:r>
      <w:r>
        <w:rPr>
          <w:rFonts w:hint="eastAsia" w:ascii="仿宋_GB2312" w:hAnsi="仿宋_GB2312" w:eastAsia="仿宋_GB2312" w:cs="仿宋_GB2312"/>
          <w:sz w:val="32"/>
          <w:szCs w:val="32"/>
          <w:highlight w:val="none"/>
          <w:lang w:val="en-US" w:eastAsia="zh-CN"/>
        </w:rPr>
        <w:t>发放</w:t>
      </w:r>
      <w:r>
        <w:rPr>
          <w:rFonts w:hint="eastAsia" w:ascii="仿宋_GB2312" w:hAnsi="仿宋_GB2312" w:eastAsia="仿宋_GB2312" w:cs="仿宋_GB2312"/>
          <w:sz w:val="32"/>
          <w:szCs w:val="32"/>
          <w:highlight w:val="none"/>
        </w:rPr>
        <w:t>30</w:t>
      </w:r>
      <w:r>
        <w:rPr>
          <w:rFonts w:hint="eastAsia" w:ascii="仿宋_GB2312" w:hAnsi="仿宋_GB2312" w:eastAsia="仿宋_GB2312" w:cs="仿宋_GB2312"/>
          <w:sz w:val="32"/>
          <w:szCs w:val="32"/>
          <w:highlight w:val="none"/>
          <w:lang w:val="en-US" w:eastAsia="zh-CN"/>
        </w:rPr>
        <w:t>-600</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highlight w:val="none"/>
          <w:lang w:val="en-US" w:eastAsia="zh-CN"/>
        </w:rPr>
        <w:t>不等补助，切实维护</w:t>
      </w:r>
      <w:r>
        <w:rPr>
          <w:rFonts w:hint="eastAsia" w:ascii="仿宋_GB2312" w:hAnsi="仿宋_GB2312" w:eastAsia="仿宋_GB2312" w:cs="仿宋_GB2312"/>
          <w:sz w:val="32"/>
          <w:szCs w:val="32"/>
          <w:highlight w:val="none"/>
        </w:rPr>
        <w:t>老年人的合法权益。</w:t>
      </w:r>
      <w:r>
        <w:rPr>
          <w:rFonts w:hint="eastAsia" w:ascii="仿宋_GB2312" w:hAnsi="仿宋_GB2312" w:eastAsia="仿宋_GB2312" w:cs="仿宋_GB2312"/>
          <w:sz w:val="32"/>
          <w:szCs w:val="32"/>
          <w:highlight w:val="none"/>
          <w:lang w:val="en-US" w:eastAsia="zh-CN"/>
        </w:rPr>
        <w:t>此外</w:t>
      </w:r>
      <w:r>
        <w:rPr>
          <w:rFonts w:hint="eastAsia" w:ascii="仿宋_GB2312" w:hAnsi="仿宋_GB2312" w:eastAsia="仿宋_GB2312" w:cs="仿宋_GB2312"/>
          <w:sz w:val="32"/>
          <w:szCs w:val="32"/>
          <w:highlight w:val="none"/>
          <w:lang w:eastAsia="zh-CN"/>
        </w:rPr>
        <w:t>，我镇建成港门镇残疾人康园中心，</w:t>
      </w:r>
      <w:r>
        <w:rPr>
          <w:rFonts w:hint="eastAsia" w:ascii="仿宋_GB2312" w:hAnsi="仿宋_GB2312" w:eastAsia="仿宋_GB2312" w:cs="仿宋_GB2312"/>
          <w:sz w:val="32"/>
          <w:szCs w:val="32"/>
          <w:highlight w:val="none"/>
          <w:lang w:val="en-US" w:eastAsia="zh-CN"/>
        </w:rPr>
        <w:t>更好</w:t>
      </w:r>
      <w:r>
        <w:rPr>
          <w:rFonts w:hint="eastAsia" w:ascii="仿宋_GB2312" w:hAnsi="仿宋_GB2312" w:eastAsia="仿宋_GB2312" w:cs="仿宋_GB2312"/>
          <w:sz w:val="32"/>
          <w:szCs w:val="32"/>
          <w:highlight w:val="none"/>
          <w:lang w:eastAsia="zh-CN"/>
        </w:rPr>
        <w:t>服务残疾群众。</w:t>
      </w:r>
      <w:r>
        <w:rPr>
          <w:rFonts w:hint="eastAsia" w:ascii="仿宋_GB2312" w:hAnsi="仿宋_GB2312" w:eastAsia="仿宋_GB2312" w:cs="仿宋_GB2312"/>
          <w:b/>
          <w:bCs/>
          <w:sz w:val="32"/>
          <w:szCs w:val="32"/>
          <w:highlight w:val="none"/>
          <w:lang w:val="en-US" w:eastAsia="zh-CN"/>
        </w:rPr>
        <w:t>在卫生健康方面。</w:t>
      </w:r>
      <w:r>
        <w:rPr>
          <w:rFonts w:hint="eastAsia" w:ascii="仿宋_GB2312" w:hAnsi="仿宋_GB2312" w:eastAsia="仿宋_GB2312" w:cs="仿宋_GB2312"/>
          <w:sz w:val="32"/>
          <w:szCs w:val="32"/>
          <w:highlight w:val="none"/>
          <w:lang w:val="en-US" w:eastAsia="zh-CN"/>
        </w:rPr>
        <w:t>积极开展爱国卫生运动，2020年我镇被市爱卫会授予“湛江市卫生镇”荣誉称号，22条自然村荣获“湛江市卫生村”称号，货湖村被评为“2020年遂溪县文明村货湖村”。</w:t>
      </w:r>
      <w:r>
        <w:rPr>
          <w:rFonts w:hint="eastAsia" w:ascii="仿宋_GB2312" w:hAnsi="仿宋_GB2312" w:eastAsia="仿宋_GB2312" w:cs="仿宋_GB2312"/>
          <w:b/>
          <w:bCs/>
          <w:sz w:val="32"/>
          <w:szCs w:val="32"/>
          <w:highlight w:val="none"/>
          <w:lang w:val="en-US" w:eastAsia="zh-CN"/>
        </w:rPr>
        <w:t>在教育方面。</w:t>
      </w:r>
      <w:r>
        <w:rPr>
          <w:rFonts w:hint="eastAsia" w:ascii="仿宋_GB2312" w:hAnsi="仿宋_GB2312" w:eastAsia="仿宋_GB2312" w:cs="仿宋_GB2312"/>
          <w:sz w:val="32"/>
          <w:szCs w:val="32"/>
          <w:highlight w:val="none"/>
          <w:lang w:val="en-US" w:eastAsia="zh-CN"/>
        </w:rPr>
        <w:t>在升学考试中，港门中学中考取得同类学校综合排名第一，小学毕业考试取得全县乡镇排名第四。举办第三届教育促进会，表彰了2名优秀校长、10名优秀教师、179名优秀学生，大会共收到捐款92.46万元，发放奖教奖学助学金64.63万元。</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五、加强平安建设，提升群众幸福感</w:t>
      </w:r>
    </w:p>
    <w:p>
      <w:pPr>
        <w:ind w:firstLine="643"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在扫黑除恶专项斗争方面。</w:t>
      </w:r>
      <w:r>
        <w:rPr>
          <w:rFonts w:hint="eastAsia" w:ascii="仿宋_GB2312" w:hAnsi="仿宋_GB2312" w:eastAsia="仿宋_GB2312" w:cs="仿宋_GB2312"/>
          <w:sz w:val="32"/>
          <w:szCs w:val="32"/>
          <w:highlight w:val="none"/>
          <w:lang w:val="en-US" w:eastAsia="zh-CN"/>
        </w:rPr>
        <w:t>我们</w:t>
      </w:r>
      <w:r>
        <w:rPr>
          <w:rFonts w:hint="eastAsia" w:ascii="仿宋_GB2312" w:hAnsi="仿宋_GB2312" w:eastAsia="仿宋_GB2312" w:cs="仿宋_GB2312"/>
          <w:sz w:val="32"/>
          <w:szCs w:val="32"/>
          <w:highlight w:val="none"/>
        </w:rPr>
        <w:t>坚持“有黑扫黑、无黑除恶、无恶治乱”的总方针</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共摸排出9宗涉乱案件，目前已整治7宗</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b/>
          <w:bCs/>
          <w:sz w:val="32"/>
          <w:szCs w:val="32"/>
          <w:highlight w:val="none"/>
          <w:lang w:val="en-US" w:eastAsia="zh-CN"/>
        </w:rPr>
        <w:t>在禁毒工作方面。</w:t>
      </w:r>
      <w:r>
        <w:rPr>
          <w:rFonts w:hint="eastAsia" w:ascii="仿宋_GB2312" w:hAnsi="仿宋_GB2312" w:eastAsia="仿宋_GB2312" w:cs="仿宋_GB2312"/>
          <w:sz w:val="32"/>
          <w:szCs w:val="32"/>
          <w:highlight w:val="none"/>
          <w:lang w:val="en-US" w:eastAsia="zh-CN"/>
        </w:rPr>
        <w:t>到各村、各中小学及市场开展禁毒宣传教育36场次，解除社区戒毒社区康复人员10人。我镇禁毒工作的综合考核，位列全县第三名。</w:t>
      </w:r>
      <w:r>
        <w:rPr>
          <w:rFonts w:hint="eastAsia" w:ascii="仿宋_GB2312" w:hAnsi="仿宋_GB2312" w:eastAsia="仿宋_GB2312" w:cs="仿宋_GB2312"/>
          <w:b/>
          <w:bCs/>
          <w:sz w:val="32"/>
          <w:szCs w:val="32"/>
          <w:highlight w:val="none"/>
          <w:lang w:val="en-US" w:eastAsia="zh-CN"/>
        </w:rPr>
        <w:t>在救助精神障碍患者方面。</w:t>
      </w:r>
      <w:r>
        <w:rPr>
          <w:rFonts w:hint="eastAsia" w:ascii="仿宋_GB2312" w:hAnsi="仿宋_GB2312" w:eastAsia="仿宋_GB2312" w:cs="仿宋_GB2312"/>
          <w:sz w:val="32"/>
          <w:szCs w:val="32"/>
          <w:highlight w:val="none"/>
          <w:lang w:val="en-US" w:eastAsia="zh-CN"/>
        </w:rPr>
        <w:t>242名严重精神障碍患者，现已全部购买患者保险。我镇已给所有监护人及协助监护人发放了补助资金，全年救治救助15名严重精神障碍患者。</w:t>
      </w:r>
      <w:r>
        <w:rPr>
          <w:rFonts w:hint="eastAsia" w:ascii="仿宋_GB2312" w:hAnsi="仿宋_GB2312" w:eastAsia="仿宋_GB2312" w:cs="仿宋_GB2312"/>
          <w:b/>
          <w:bCs/>
          <w:sz w:val="32"/>
          <w:szCs w:val="32"/>
          <w:highlight w:val="none"/>
          <w:lang w:val="en-US" w:eastAsia="zh-CN"/>
        </w:rPr>
        <w:t>在信访维稳方面。</w:t>
      </w:r>
      <w:r>
        <w:rPr>
          <w:rFonts w:hint="eastAsia" w:ascii="仿宋_GB2312" w:hAnsi="仿宋_GB2312" w:eastAsia="仿宋_GB2312" w:cs="仿宋_GB2312"/>
          <w:sz w:val="32"/>
          <w:szCs w:val="32"/>
          <w:highlight w:val="none"/>
          <w:lang w:val="en-US" w:eastAsia="zh-CN"/>
        </w:rPr>
        <w:t>2020年，我镇总共开展领导接访活动16次，网上受理信访案件8宗，办结7宗。做好节假日维稳工作，重点抓好全国“两会”、经济特区建立40周年活动期间、国庆节、建军节等节点矛盾纠纷排查化解工作，确保了敏感时段安全稳定。</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六、落实安全责任，巩固群众安全感</w:t>
      </w:r>
    </w:p>
    <w:p>
      <w:pPr>
        <w:numPr>
          <w:ilvl w:val="0"/>
          <w:numId w:val="0"/>
        </w:numPr>
        <w:ind w:firstLine="643" w:firstLineChars="200"/>
        <w:rPr>
          <w:rFonts w:hint="eastAsia" w:ascii="仿宋_GB2312" w:hAnsi="仿宋_GB2312" w:eastAsia="仿宋_GB2312" w:cs="仿宋_GB2312"/>
          <w:sz w:val="32"/>
          <w:szCs w:val="32"/>
          <w:highlight w:val="none"/>
          <w:lang w:val="en-US"/>
        </w:rPr>
      </w:pPr>
      <w:r>
        <w:rPr>
          <w:rFonts w:hint="eastAsia" w:ascii="仿宋_GB2312" w:hAnsi="仿宋_GB2312" w:eastAsia="仿宋_GB2312" w:cs="仿宋_GB2312"/>
          <w:b/>
          <w:bCs/>
          <w:sz w:val="32"/>
          <w:szCs w:val="32"/>
          <w:highlight w:val="none"/>
          <w:lang w:val="en-US" w:eastAsia="zh-CN"/>
        </w:rPr>
        <w:t>安全工作思路。</w:t>
      </w:r>
      <w:r>
        <w:rPr>
          <w:rFonts w:hint="eastAsia" w:ascii="仿宋_GB2312" w:hAnsi="仿宋_GB2312" w:eastAsia="仿宋_GB2312" w:cs="仿宋_GB2312"/>
          <w:kern w:val="2"/>
          <w:sz w:val="32"/>
          <w:szCs w:val="32"/>
          <w:highlight w:val="none"/>
          <w:lang w:val="en-US" w:eastAsia="zh-CN" w:bidi="ar"/>
        </w:rPr>
        <w:t>我们坚持“安全第一、预防为主、综合治理”的工作方针，严格落实“一岗双责”责任制，强化监督，狠抓落实，保持了安全生产的良好发展态势。</w:t>
      </w:r>
      <w:r>
        <w:rPr>
          <w:rFonts w:hint="eastAsia" w:ascii="仿宋_GB2312" w:hAnsi="仿宋_GB2312" w:eastAsia="仿宋_GB2312" w:cs="仿宋_GB2312"/>
          <w:b/>
          <w:bCs/>
          <w:sz w:val="32"/>
          <w:szCs w:val="32"/>
          <w:highlight w:val="none"/>
          <w:lang w:val="en-US" w:eastAsia="zh-CN"/>
        </w:rPr>
        <w:t>开展安全生产专项行动。</w:t>
      </w:r>
      <w:r>
        <w:rPr>
          <w:rFonts w:hint="eastAsia" w:ascii="仿宋_GB2312" w:hAnsi="仿宋_GB2312" w:eastAsia="仿宋_GB2312" w:cs="仿宋_GB2312"/>
          <w:kern w:val="2"/>
          <w:sz w:val="32"/>
          <w:szCs w:val="32"/>
          <w:highlight w:val="none"/>
          <w:lang w:val="en-US" w:eastAsia="zh-CN" w:bidi="ar"/>
        </w:rPr>
        <w:t>在各节假日，加强对全镇10余家烟花爆竹零售点的经营、储存、燃放等环节的安全管理，严厉打击非法生产储存经营烟花爆竹的行为。对“三无”船舶、避风渔港等进行检查，认真落实汛期防风工作。</w:t>
      </w:r>
      <w:r>
        <w:rPr>
          <w:rFonts w:hint="eastAsia" w:ascii="仿宋_GB2312" w:hAnsi="仿宋_GB2312" w:eastAsia="仿宋_GB2312" w:cs="仿宋_GB2312"/>
          <w:b/>
          <w:bCs/>
          <w:sz w:val="32"/>
          <w:szCs w:val="32"/>
          <w:highlight w:val="none"/>
          <w:lang w:val="en-US" w:eastAsia="zh-CN"/>
        </w:rPr>
        <w:t>开展道路交通安全治理。</w:t>
      </w:r>
      <w:r>
        <w:rPr>
          <w:rFonts w:hint="eastAsia" w:ascii="仿宋_GB2312" w:hAnsi="仿宋_GB2312" w:eastAsia="仿宋_GB2312" w:cs="仿宋_GB2312"/>
          <w:kern w:val="2"/>
          <w:sz w:val="32"/>
          <w:szCs w:val="32"/>
          <w:highlight w:val="none"/>
          <w:lang w:val="en-US" w:eastAsia="zh-CN" w:bidi="ar"/>
        </w:rPr>
        <w:t>开展道路交通安全隐患排查和“逢五”、“逢十”整治行动，重点检查“一盔一带”。行动期间，累计出动工作人员336人次、车辆93辆次，查处各类交通违法912起，检查车辆2672辆，查扣各类违章车辆865辆、无牌无证车辆96辆，安全劝导5536人次，开展交通安全专项宣传13场次。</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七、切实履职尽责，推动执政能力建设</w:t>
      </w:r>
    </w:p>
    <w:p>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推进执法工作。</w:t>
      </w:r>
      <w:r>
        <w:rPr>
          <w:rFonts w:hint="eastAsia" w:ascii="仿宋_GB2312" w:hAnsi="仿宋_GB2312" w:eastAsia="仿宋_GB2312" w:cs="仿宋_GB2312"/>
          <w:sz w:val="32"/>
          <w:szCs w:val="32"/>
          <w:highlight w:val="none"/>
          <w:lang w:val="en-US" w:eastAsia="zh-CN"/>
        </w:rPr>
        <w:t>镇综合行政执法队的15名队员均考取了《综合行政执法资格证》，承接上级部门下放执法事项共339项，依法依规做好综合行政执法工作。</w:t>
      </w:r>
      <w:r>
        <w:rPr>
          <w:rFonts w:hint="eastAsia" w:ascii="仿宋_GB2312" w:hAnsi="仿宋_GB2312" w:eastAsia="仿宋_GB2312" w:cs="仿宋_GB2312"/>
          <w:b/>
          <w:bCs/>
          <w:sz w:val="32"/>
          <w:szCs w:val="32"/>
          <w:highlight w:val="none"/>
          <w:lang w:val="en-US" w:eastAsia="zh-CN"/>
        </w:rPr>
        <w:t>加强党的建设。</w:t>
      </w:r>
      <w:r>
        <w:rPr>
          <w:rFonts w:hint="eastAsia" w:ascii="仿宋_GB2312" w:hAnsi="仿宋_GB2312" w:eastAsia="仿宋_GB2312" w:cs="仿宋_GB2312"/>
          <w:sz w:val="32"/>
          <w:szCs w:val="32"/>
          <w:highlight w:val="none"/>
          <w:lang w:val="en-US" w:eastAsia="zh-CN"/>
        </w:rPr>
        <w:t>严格落实党建工作责任制，实现党建工作高质量发展。全年我镇共召开8次党委会，12次党建工作推进会。2020年共发展13名中共党员，其中35岁以下人员9人，大专以上学历8人，不断充实基层党组织。</w:t>
      </w:r>
      <w:r>
        <w:rPr>
          <w:rFonts w:hint="eastAsia" w:ascii="仿宋_GB2312" w:hAnsi="仿宋_GB2312" w:eastAsia="仿宋_GB2312" w:cs="仿宋_GB2312"/>
          <w:b/>
          <w:bCs/>
          <w:sz w:val="32"/>
          <w:szCs w:val="32"/>
          <w:highlight w:val="none"/>
          <w:lang w:val="en-US" w:eastAsia="zh-CN"/>
        </w:rPr>
        <w:t>做好村“两委”换届工作。</w:t>
      </w:r>
      <w:r>
        <w:rPr>
          <w:rFonts w:hint="eastAsia" w:ascii="仿宋_GB2312" w:hAnsi="仿宋_GB2312" w:eastAsia="仿宋_GB2312" w:cs="仿宋_GB2312"/>
          <w:sz w:val="32"/>
          <w:szCs w:val="32"/>
          <w:highlight w:val="none"/>
          <w:lang w:val="en-US" w:eastAsia="zh-CN"/>
        </w:rPr>
        <w:t>目前，我镇村级“两委”干部换届共选出72名“两委”干部，其中镇下派干部3名。</w:t>
      </w:r>
      <w:r>
        <w:rPr>
          <w:rFonts w:hint="eastAsia" w:ascii="仿宋_GB2312" w:hAnsi="仿宋_GB2312" w:eastAsia="仿宋_GB2312" w:cs="仿宋_GB2312"/>
          <w:b/>
          <w:bCs/>
          <w:sz w:val="32"/>
          <w:szCs w:val="32"/>
          <w:highlight w:val="none"/>
          <w:lang w:val="en-US" w:eastAsia="zh-CN"/>
        </w:rPr>
        <w:t>做好巡察整改。</w:t>
      </w:r>
      <w:r>
        <w:rPr>
          <w:rFonts w:hint="eastAsia" w:ascii="仿宋_GB2312" w:hAnsi="仿宋_GB2312" w:eastAsia="仿宋_GB2312" w:cs="仿宋_GB2312"/>
          <w:sz w:val="32"/>
          <w:szCs w:val="32"/>
          <w:highlight w:val="none"/>
          <w:lang w:val="en-US" w:eastAsia="zh-CN"/>
        </w:rPr>
        <w:t>我镇积极配合县委第四巡察组，深挖内因，认真开展整改。经县委巡察组反馈，我镇各级党组织共发现问题11个。目前，镇党委已成立巡察整改小组，全面开展整改，同时借助巡察契机，进一步开展党风廉政教育，提升干部廉政水平。</w:t>
      </w:r>
    </w:p>
    <w:p>
      <w:pPr>
        <w:numPr>
          <w:ilvl w:val="0"/>
          <w:numId w:val="0"/>
        </w:num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与此同时，保密、供销、统计、殡改、残联、三防、工商、科协、年鉴、档案、老干部、统战、民族宗教、工会、共青团、妇联、志愿服务、武装、国防动员、人防、预备役、海防打私、第七次人口普查等工作成效显著。</w:t>
      </w:r>
    </w:p>
    <w:p>
      <w:pPr>
        <w:numPr>
          <w:ilvl w:val="0"/>
          <w:numId w:val="0"/>
        </w:numPr>
        <w:ind w:firstLine="640" w:firstLineChars="200"/>
        <w:rPr>
          <w:rFonts w:hint="eastAsia" w:ascii="仿宋_GB2312" w:hAnsi="仿宋_GB2312" w:eastAsia="仿宋_GB2312" w:cs="仿宋_GB2312"/>
          <w:sz w:val="32"/>
          <w:szCs w:val="32"/>
          <w:highlight w:val="none"/>
          <w:lang w:val="en-US" w:eastAsia="zh-CN"/>
        </w:rPr>
      </w:pPr>
    </w:p>
    <w:p>
      <w:pPr>
        <w:numPr>
          <w:ilvl w:val="0"/>
          <w:numId w:val="0"/>
        </w:num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各位代表！2020年是脱贫攻坚决战决胜之年。五年来，我们把脱贫攻坚作为最大政治任务和最大民生工程，全镇上下真抓实干，贫困问题得到历史性解决，决胜脱贫攻坚取得决定性胜利，广大干部的能力得到提升，作风得到锤炼，一大批干部得到成长，为全面实施乡村振兴奠定了坚实基础。</w:t>
      </w:r>
    </w:p>
    <w:p>
      <w:pPr>
        <w:numPr>
          <w:ilvl w:val="0"/>
          <w:numId w:val="0"/>
        </w:num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2020年也是“十三五”的收官之年。五年来，全镇上下坚定不移走高质量发展之路，港门建设展现新画卷，全面建成小康社会目标如期实现。</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——这五年，我们加强产业建设，经济水平不断提升。</w:t>
      </w:r>
    </w:p>
    <w:p>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建立光伏发电扶贫项目。</w:t>
      </w:r>
      <w:r>
        <w:rPr>
          <w:rFonts w:hint="eastAsia" w:ascii="仿宋_GB2312" w:hAnsi="仿宋_GB2312" w:eastAsia="仿宋_GB2312" w:cs="仿宋_GB2312"/>
          <w:sz w:val="32"/>
          <w:szCs w:val="32"/>
          <w:highlight w:val="none"/>
          <w:lang w:val="en-US" w:eastAsia="zh-CN"/>
        </w:rPr>
        <w:t>投入510.67万元，建设光伏发电扶贫项目，有劳动能力的贫困户都加入其中，现已产生效益达85万元。</w:t>
      </w:r>
      <w:r>
        <w:rPr>
          <w:rFonts w:hint="eastAsia" w:ascii="仿宋_GB2312" w:hAnsi="仿宋_GB2312" w:eastAsia="仿宋_GB2312" w:cs="仿宋_GB2312"/>
          <w:b/>
          <w:bCs/>
          <w:sz w:val="32"/>
          <w:szCs w:val="32"/>
          <w:highlight w:val="none"/>
          <w:lang w:val="en-US" w:eastAsia="zh-CN"/>
        </w:rPr>
        <w:t>建立良田生态综合种植基地。</w:t>
      </w:r>
      <w:r>
        <w:rPr>
          <w:rFonts w:hint="eastAsia" w:ascii="仿宋_GB2312" w:hAnsi="仿宋_GB2312" w:eastAsia="仿宋_GB2312" w:cs="仿宋_GB2312"/>
          <w:sz w:val="32"/>
          <w:szCs w:val="32"/>
          <w:highlight w:val="none"/>
          <w:lang w:val="en-US" w:eastAsia="zh-CN"/>
        </w:rPr>
        <w:t>结合“一镇一业”“一村一品”行动，利用自筹资金和政策性项目资金，建设230亩无公害绿色生态种植园。2020年，番薯销售额76.68万元，利润超过30万元。</w:t>
      </w:r>
      <w:r>
        <w:rPr>
          <w:rFonts w:hint="eastAsia" w:ascii="仿宋_GB2312" w:hAnsi="仿宋_GB2312" w:eastAsia="仿宋_GB2312" w:cs="仿宋_GB2312"/>
          <w:b/>
          <w:bCs/>
          <w:sz w:val="32"/>
          <w:szCs w:val="32"/>
          <w:highlight w:val="none"/>
          <w:lang w:val="en-US" w:eastAsia="zh-CN"/>
        </w:rPr>
        <w:t>建立遂溪县菁源农业专业合作社番薯种植基地。</w:t>
      </w:r>
      <w:r>
        <w:rPr>
          <w:rFonts w:hint="eastAsia" w:ascii="仿宋_GB2312" w:hAnsi="仿宋_GB2312" w:eastAsia="仿宋_GB2312" w:cs="仿宋_GB2312"/>
          <w:sz w:val="32"/>
          <w:szCs w:val="32"/>
          <w:highlight w:val="none"/>
          <w:lang w:val="en-US" w:eastAsia="zh-CN"/>
        </w:rPr>
        <w:t>2020年，番薯销售额58.22万元，利润23.95万元，贫困户分红11.97万元，有劳力户人均增收2784.7元。</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——这五年，我们加强乡村建设，生态环境显著改善。</w:t>
      </w: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持续做好基础建设，累计投入2.5亿元，开展基础设施建设工作。如“四好农村路”建设、村内道路硬底化等工程，完成省下达任务53项，共计40.3公里，镇村交通</w:t>
      </w:r>
      <w:r>
        <w:rPr>
          <w:rFonts w:hint="eastAsia" w:ascii="仿宋_GB2312" w:hAnsi="仿宋_GB2312" w:eastAsia="仿宋_GB2312" w:cs="仿宋_GB2312"/>
          <w:sz w:val="32"/>
          <w:szCs w:val="32"/>
          <w:highlight w:val="none"/>
          <w:lang w:val="zh-CN" w:eastAsia="zh-CN"/>
        </w:rPr>
        <w:t>面貌焕然一新。</w:t>
      </w:r>
      <w:r>
        <w:rPr>
          <w:rFonts w:hint="eastAsia" w:ascii="仿宋_GB2312" w:hAnsi="仿宋_GB2312" w:eastAsia="仿宋_GB2312" w:cs="仿宋_GB2312"/>
          <w:sz w:val="32"/>
          <w:szCs w:val="32"/>
          <w:highlight w:val="none"/>
          <w:lang w:val="en-US" w:eastAsia="zh-CN"/>
        </w:rPr>
        <w:t>开展“农村人居环境整治三年行动”，在105条自然村开展“三清三拆三整治”、农村垃圾整治、“厕所革命”等治污行动。完善镇区污水管网建设，用好污水处理厂。全面落实“五清”专项行动，推行河长制，落实“一河一策”方案，强化领导干部责任，落实门前“三包”制度，健全完善镇区管理长效机制，加大镇区整治力度。</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——这五年，我们落实民生保障，切实维护群众权益。</w:t>
      </w: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我镇人均可支配收入由2016年的0.66万元变成了2020年的1.58万元，增长了139%。我们坚持做好农村医疗、养老保险参保工作，完善大病救助、低保、军烈属抚恤等款项发放工作。对镇敬老院进行升级改造。大力建设各行政村的综合性文化服务中心，夯实群众文体活动基础设施。完成第七次全国人口普查工作。大力开展创文工作，做好未成年人思想教育工作，对工青妇等工作保持高度重视。</w:t>
      </w:r>
    </w:p>
    <w:p>
      <w:pPr>
        <w:numPr>
          <w:ilvl w:val="0"/>
          <w:numId w:val="0"/>
        </w:numPr>
        <w:ind w:firstLine="640" w:firstLineChars="200"/>
        <w:rPr>
          <w:rFonts w:hint="eastAsia" w:ascii="仿宋_GB2312" w:hAnsi="仿宋_GB2312" w:eastAsia="仿宋_GB2312" w:cs="仿宋_GB2312"/>
          <w:b/>
          <w:bCs/>
          <w:sz w:val="32"/>
          <w:szCs w:val="32"/>
          <w:highlight w:val="none"/>
          <w:lang w:val="en-US" w:eastAsia="zh-CN"/>
        </w:rPr>
      </w:pPr>
      <w:r>
        <w:rPr>
          <w:rFonts w:hint="eastAsia" w:ascii="黑体" w:hAnsi="黑体" w:eastAsia="黑体" w:cs="黑体"/>
          <w:b w:val="0"/>
          <w:bCs w:val="0"/>
          <w:sz w:val="32"/>
          <w:szCs w:val="32"/>
          <w:highlight w:val="none"/>
          <w:lang w:val="en-US" w:eastAsia="zh-CN"/>
        </w:rPr>
        <w:t>——这五年，我们严抓社会治安，推动建设平安港门。</w:t>
      </w: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我们积极调解矛盾纠纷消除隐患，严格落实“扫黑除恶”三年整治行动，切实抓好禁毒工作，积极送治精神障碍患者，妥善处理信访案件。重视舆论宣传工作，采用多种形式进行“三项测评”和平安创建活动的宣传。严格落实道路交通安全专项整治行动，积极开展“一盔一带”宣传教育和摩电整治活动。</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——这五年，我们坚守初心使命，牢记责任担当。</w:t>
      </w:r>
    </w:p>
    <w:p>
      <w:pPr>
        <w:keepNext w:val="0"/>
        <w:keepLines w:val="0"/>
        <w:widowControl/>
        <w:suppressLineNumbers w:val="0"/>
        <w:pBdr>
          <w:top w:val="none" w:color="auto" w:sz="0" w:space="0"/>
          <w:left w:val="none" w:color="auto" w:sz="0" w:space="0"/>
        </w:pBdr>
        <w:wordWrap w:val="0"/>
        <w:ind w:firstLine="640" w:firstLineChars="20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我们认真学习领会习近平新时代中国特色社会主义思想，全面贯彻落实党的十九大和十九届二中、三中、四中、五中全会关于党的建设总体要求和各项部署，进一步学习贯彻省、市、县委关于党的建设的工作要求。切实抓好“两学一做”“不忘初心、牢记使命”主题教育等理论学习工作，认真落实党风廉政建设，持续深化正风肃纪，坚决纠正“四风”。自觉在思想上、行动上同以习近平同志为核心的党中央保持高度一致，强化政治责任，保持政治定力。</w:t>
      </w:r>
    </w:p>
    <w:p>
      <w:pPr>
        <w:ind w:firstLine="640" w:firstLineChars="200"/>
        <w:rPr>
          <w:rFonts w:hint="eastAsia" w:ascii="仿宋_GB2312" w:hAnsi="仿宋_GB2312" w:eastAsia="仿宋_GB2312" w:cs="仿宋_GB2312"/>
          <w:sz w:val="32"/>
          <w:szCs w:val="32"/>
          <w:highlight w:val="none"/>
          <w:lang w:val="en-US" w:eastAsia="zh-CN"/>
        </w:rPr>
      </w:pP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各位代表！成绩总是来之不易，而取得这些成绩，离不开县委县政府和镇委的大力支持！更加离不开全镇人民群众的辛勤奋斗！在此，我谨代表港门镇人民政府，向所有关心和支持港门发展的同志们、朋友们，向参与新冠疫情防控的广大干部和群众，表示衷心感谢，致以崇高敬意！</w:t>
      </w: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我们也清醒地认识到，我镇经济社会发展还存在不少困难、问题和挑战：一是经济发展水平不高。经济总量小，产业仍以农渔业为主导，产业发展水平有待提升；二是基础建设仍有很多短板。镇村道路维护和规划亟须完善，人居环境整治程度不深，基础建设仍需加大力度；三是政府履职能力有待改进。在推进镇村工作改革方面还要深入，如农村垃圾、行政执法、道路交通等方面。</w:t>
      </w: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对这些问题，我们将以愚公移山的态度，坚决采取有力措施加以解决。</w:t>
      </w:r>
    </w:p>
    <w:p>
      <w:pPr>
        <w:rPr>
          <w:rFonts w:hint="eastAsia" w:ascii="仿宋_GB2312" w:hAnsi="仿宋_GB2312" w:eastAsia="仿宋_GB2312" w:cs="仿宋_GB2312"/>
          <w:sz w:val="32"/>
          <w:szCs w:val="32"/>
          <w:highlight w:val="none"/>
          <w:lang w:val="en-US" w:eastAsia="zh-CN"/>
        </w:rPr>
      </w:pPr>
    </w:p>
    <w:p>
      <w:pPr>
        <w:jc w:val="center"/>
        <w:rPr>
          <w:rFonts w:hint="eastAsia" w:ascii="方正小标宋简体" w:hAnsi="方正小标宋简体" w:eastAsia="方正小标宋简体" w:cs="方正小标宋简体"/>
          <w:b/>
          <w:bCs/>
          <w:sz w:val="36"/>
          <w:szCs w:val="36"/>
          <w:highlight w:val="none"/>
          <w:lang w:val="en-US" w:eastAsia="zh-CN"/>
        </w:rPr>
      </w:pPr>
      <w:r>
        <w:rPr>
          <w:rFonts w:hint="eastAsia" w:ascii="方正小标宋简体" w:hAnsi="方正小标宋简体" w:eastAsia="方正小标宋简体" w:cs="方正小标宋简体"/>
          <w:b/>
          <w:bCs/>
          <w:sz w:val="36"/>
          <w:szCs w:val="36"/>
          <w:highlight w:val="none"/>
          <w:lang w:val="en-US" w:eastAsia="zh-CN"/>
        </w:rPr>
        <w:t>“十四五”时期奋斗目标和主要任务</w:t>
      </w: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港门</w:t>
      </w:r>
      <w:r>
        <w:rPr>
          <w:rFonts w:hint="eastAsia" w:ascii="仿宋_GB2312" w:hAnsi="仿宋_GB2312" w:eastAsia="仿宋_GB2312" w:cs="仿宋_GB2312"/>
          <w:sz w:val="32"/>
          <w:szCs w:val="32"/>
          <w:highlight w:val="none"/>
          <w:lang w:val="en-US" w:eastAsia="zh-CN"/>
        </w:rPr>
        <w:t>的</w:t>
      </w:r>
      <w:r>
        <w:rPr>
          <w:rFonts w:hint="eastAsia" w:ascii="仿宋_GB2312" w:hAnsi="仿宋_GB2312" w:eastAsia="仿宋_GB2312" w:cs="仿宋_GB2312"/>
          <w:sz w:val="32"/>
          <w:szCs w:val="32"/>
          <w:highlight w:val="none"/>
        </w:rPr>
        <w:t>未来五年，是全面贯彻党的十九大和十九届历次全会精神，深入推进</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四个全面</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的五年</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为</w:t>
      </w:r>
      <w:r>
        <w:rPr>
          <w:rFonts w:hint="eastAsia" w:ascii="仿宋_GB2312" w:hAnsi="仿宋_GB2312" w:eastAsia="仿宋_GB2312" w:cs="仿宋_GB2312"/>
          <w:sz w:val="32"/>
          <w:szCs w:val="32"/>
          <w:highlight w:val="none"/>
          <w:lang w:val="en-US" w:eastAsia="zh-CN"/>
        </w:rPr>
        <w:t>了</w:t>
      </w:r>
      <w:r>
        <w:rPr>
          <w:rFonts w:hint="eastAsia" w:ascii="仿宋_GB2312" w:hAnsi="仿宋_GB2312" w:eastAsia="仿宋_GB2312" w:cs="仿宋_GB2312"/>
          <w:sz w:val="32"/>
          <w:szCs w:val="32"/>
          <w:highlight w:val="none"/>
        </w:rPr>
        <w:t>扎实推进港门未来五年快速、健康、持续发展，镇党委</w:t>
      </w:r>
      <w:r>
        <w:rPr>
          <w:rFonts w:hint="eastAsia" w:ascii="仿宋_GB2312" w:hAnsi="仿宋_GB2312" w:eastAsia="仿宋_GB2312" w:cs="仿宋_GB2312"/>
          <w:sz w:val="32"/>
          <w:szCs w:val="32"/>
          <w:highlight w:val="none"/>
          <w:lang w:val="en-US" w:eastAsia="zh-CN"/>
        </w:rPr>
        <w:t>镇</w:t>
      </w:r>
      <w:r>
        <w:rPr>
          <w:rFonts w:hint="eastAsia" w:ascii="仿宋_GB2312" w:hAnsi="仿宋_GB2312" w:eastAsia="仿宋_GB2312" w:cs="仿宋_GB2312"/>
          <w:sz w:val="32"/>
          <w:szCs w:val="32"/>
          <w:highlight w:val="none"/>
        </w:rPr>
        <w:t>政府通过深入调查研究，征求多方意见，编制了《港门镇国民经济和社会发展第十四个五年规划纲要》</w:t>
      </w:r>
      <w:r>
        <w:rPr>
          <w:rFonts w:hint="eastAsia" w:ascii="仿宋_GB2312" w:hAnsi="仿宋_GB2312" w:eastAsia="仿宋_GB2312" w:cs="仿宋_GB2312"/>
          <w:sz w:val="32"/>
          <w:szCs w:val="32"/>
          <w:highlight w:val="none"/>
          <w:lang w:eastAsia="zh-CN"/>
        </w:rPr>
        <w:t>。</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一、“十四五”期间我镇经济社会发展的总体思路</w:t>
      </w:r>
    </w:p>
    <w:p>
      <w:pPr>
        <w:numPr>
          <w:ilvl w:val="0"/>
          <w:numId w:val="0"/>
        </w:num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根据党的十九大和十九届历次全会精神和习近平总书记系列重要讲话，以及中央经济工作会议精神，坚持发展是第一要务，推动经济社会发展不断增创新优势、迈上新台阶，把全面建成小康和提高人民生活水平作为出发点，以推进港门新农村建设为定位，立足科学发展，突出产业支撑，加强城镇统筹，创新管理机制，转变增长方式，提升综合竞争力。</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二、“十四五”期间我镇经济社会发展的主要目标</w:t>
      </w:r>
    </w:p>
    <w:p>
      <w:pPr>
        <w:numPr>
          <w:ilvl w:val="0"/>
          <w:numId w:val="0"/>
        </w:numPr>
        <w:ind w:firstLine="640" w:firstLineChars="200"/>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推动经济结构战略性调整取得突破性进展，经济运行质量和效益得到显著提高，在农业大镇向农业强镇转变道路上迈出坚实的一步。科技、教育、文化、卫生等各项社会事业全面协调发展，社会保障体系更加完善。社会和谐程度显著提升，人民幸福指数不断提高。</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三、“十四五”期间我镇经济社会发展的重点项目</w:t>
      </w:r>
    </w:p>
    <w:p>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（一）加快推进北部湾遂溪避风港工程建设。</w:t>
      </w:r>
      <w:r>
        <w:rPr>
          <w:rFonts w:hint="eastAsia" w:ascii="仿宋_GB2312" w:hAnsi="仿宋_GB2312" w:eastAsia="仿宋_GB2312" w:cs="仿宋_GB2312"/>
          <w:sz w:val="32"/>
          <w:szCs w:val="32"/>
          <w:highlight w:val="none"/>
          <w:lang w:val="en-US" w:eastAsia="zh-CN"/>
        </w:rPr>
        <w:t>该工程建成后，可以加快石角渔港基础设施的建设步伐，使渔港的避风功能得到进一步发挥，渔港的装卸条件得到改善。具体包括：建设渔业码头100米、护岸810米、拦沙堤681米，工程完成后，将极大地提升我镇石角渔港的保障功能，大大推动港门渔业经济产业链的发展。</w:t>
      </w:r>
    </w:p>
    <w:p>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（二）加快推进乐民河大桥工程建设进度。</w:t>
      </w:r>
      <w:r>
        <w:rPr>
          <w:rFonts w:hint="eastAsia" w:ascii="仿宋_GB2312" w:hAnsi="仿宋_GB2312" w:eastAsia="仿宋_GB2312" w:cs="仿宋_GB2312"/>
          <w:sz w:val="32"/>
          <w:szCs w:val="32"/>
          <w:highlight w:val="none"/>
          <w:lang w:val="en-US" w:eastAsia="zh-CN"/>
        </w:rPr>
        <w:t>该工程连接遂溪县港门镇和乐民镇，项目路线全长0.406km，总投资预计3848.98万元，预计在2021年4月底建设完成。工程完工后，将有助于解决乐民河两岸居民通行不便的问题，进一步优化城镇空间布局结构，为港门、乐民两镇群众的出行服务。</w:t>
      </w:r>
    </w:p>
    <w:p>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（三）加快推进滨海旅游观光带建设。</w:t>
      </w:r>
      <w:r>
        <w:rPr>
          <w:rFonts w:hint="eastAsia" w:ascii="仿宋_GB2312" w:hAnsi="仿宋_GB2312" w:eastAsia="仿宋_GB2312" w:cs="仿宋_GB2312"/>
          <w:sz w:val="32"/>
          <w:szCs w:val="32"/>
          <w:highlight w:val="none"/>
          <w:lang w:val="en-US" w:eastAsia="zh-CN"/>
        </w:rPr>
        <w:t>结合避风港工程建设和石角至黄屋一带极具开发价值的旅游资源，规划建设一条从石角至黄屋的滨海港区特色旅游观光带，努力打造具有港门特色且囊括旅游观光、休闲度假、游乐锻炼、科普教育的银沙湾度假区，以国家级红树林保护区为基础建设黄屋湿地公园。该项目将涵括岭南水果采摘及现代农业观光、生态观赏林及红树林游览候鸟观光等多个观光项目。</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（四）加快镇区基础设施建设。</w:t>
      </w:r>
      <w:r>
        <w:rPr>
          <w:rFonts w:hint="eastAsia" w:ascii="仿宋_GB2312" w:hAnsi="仿宋_GB2312" w:eastAsia="仿宋_GB2312" w:cs="仿宋_GB2312"/>
          <w:sz w:val="32"/>
          <w:szCs w:val="32"/>
          <w:highlight w:val="none"/>
          <w:lang w:val="en-US" w:eastAsia="zh-CN"/>
        </w:rPr>
        <w:t>为了加快统筹城乡发展，推动城乡融合，必须加快港门镇区基础设施建设。一是拓宽镇区主干道县道X684科明加油站至元塘村口段，营造舒适的行车环境，方便百姓出行。二是建设港门客运站，承担起南来北往、东奔西走的八方旅客，使农民群众出行更快速、便捷，完善我镇公共交通服务功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四、“十四五”时期我镇经济社会发展的实施保障</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lang w:val="en-US" w:eastAsia="zh-CN"/>
        </w:rPr>
        <w:t>（一）坚持把习近平新时代中国特色社会主义思想作为根本遵循。</w:t>
      </w:r>
      <w:r>
        <w:rPr>
          <w:rFonts w:hint="eastAsia" w:ascii="仿宋_GB2312" w:hAnsi="仿宋_GB2312" w:eastAsia="仿宋_GB2312" w:cs="仿宋_GB2312"/>
          <w:sz w:val="32"/>
          <w:szCs w:val="32"/>
          <w:highlight w:val="none"/>
        </w:rPr>
        <w:t>把奋力谱写</w:t>
      </w:r>
      <w:r>
        <w:rPr>
          <w:rFonts w:hint="eastAsia" w:ascii="仿宋_GB2312" w:hAnsi="仿宋_GB2312" w:eastAsia="仿宋_GB2312" w:cs="仿宋_GB2312"/>
          <w:sz w:val="32"/>
          <w:szCs w:val="32"/>
          <w:highlight w:val="none"/>
          <w:lang w:val="en-US" w:eastAsia="zh-CN"/>
        </w:rPr>
        <w:t>港门</w:t>
      </w:r>
      <w:r>
        <w:rPr>
          <w:rFonts w:hint="eastAsia" w:ascii="仿宋_GB2312" w:hAnsi="仿宋_GB2312" w:eastAsia="仿宋_GB2312" w:cs="仿宋_GB2312"/>
          <w:sz w:val="32"/>
          <w:szCs w:val="32"/>
          <w:highlight w:val="none"/>
        </w:rPr>
        <w:t>新时代追赶超越新篇章作为全部工作的总纲，立足</w:t>
      </w:r>
      <w:r>
        <w:rPr>
          <w:rFonts w:hint="eastAsia" w:ascii="仿宋_GB2312" w:hAnsi="仿宋_GB2312" w:eastAsia="仿宋_GB2312" w:cs="仿宋_GB2312"/>
          <w:sz w:val="32"/>
          <w:szCs w:val="32"/>
          <w:highlight w:val="none"/>
          <w:lang w:val="en-US" w:eastAsia="zh-CN"/>
        </w:rPr>
        <w:t>港门实际</w:t>
      </w:r>
      <w:r>
        <w:rPr>
          <w:rFonts w:hint="eastAsia" w:ascii="仿宋_GB2312" w:hAnsi="仿宋_GB2312" w:eastAsia="仿宋_GB2312" w:cs="仿宋_GB2312"/>
          <w:sz w:val="32"/>
          <w:szCs w:val="32"/>
          <w:highlight w:val="none"/>
        </w:rPr>
        <w:t>，贯通落实</w:t>
      </w:r>
      <w:r>
        <w:rPr>
          <w:rFonts w:hint="eastAsia" w:ascii="仿宋_GB2312" w:hAnsi="仿宋_GB2312" w:eastAsia="仿宋_GB2312" w:cs="仿宋_GB2312"/>
          <w:sz w:val="32"/>
          <w:szCs w:val="32"/>
          <w:highlight w:val="none"/>
          <w:lang w:val="en-US" w:eastAsia="zh-CN"/>
        </w:rPr>
        <w:t>乡村振兴战略</w:t>
      </w:r>
      <w:r>
        <w:rPr>
          <w:rFonts w:hint="eastAsia" w:ascii="仿宋_GB2312" w:hAnsi="仿宋_GB2312" w:eastAsia="仿宋_GB2312" w:cs="仿宋_GB2312"/>
          <w:sz w:val="32"/>
          <w:szCs w:val="32"/>
          <w:highlight w:val="none"/>
        </w:rPr>
        <w:t>，自觉肩负起</w:t>
      </w:r>
      <w:r>
        <w:rPr>
          <w:rFonts w:hint="eastAsia" w:ascii="仿宋_GB2312" w:hAnsi="仿宋_GB2312" w:eastAsia="仿宋_GB2312" w:cs="仿宋_GB2312"/>
          <w:sz w:val="32"/>
          <w:szCs w:val="32"/>
          <w:highlight w:val="none"/>
          <w:lang w:val="en-US" w:eastAsia="zh-CN"/>
        </w:rPr>
        <w:t>港门</w:t>
      </w:r>
      <w:r>
        <w:rPr>
          <w:rFonts w:hint="eastAsia" w:ascii="仿宋_GB2312" w:hAnsi="仿宋_GB2312" w:eastAsia="仿宋_GB2312" w:cs="仿宋_GB2312"/>
          <w:sz w:val="32"/>
          <w:szCs w:val="32"/>
          <w:highlight w:val="none"/>
        </w:rPr>
        <w:t>建设</w:t>
      </w:r>
      <w:r>
        <w:rPr>
          <w:rFonts w:hint="eastAsia" w:ascii="仿宋_GB2312" w:hAnsi="仿宋_GB2312" w:eastAsia="仿宋_GB2312" w:cs="仿宋_GB2312"/>
          <w:sz w:val="32"/>
          <w:szCs w:val="32"/>
          <w:highlight w:val="none"/>
          <w:lang w:val="en-US" w:eastAsia="zh-CN"/>
        </w:rPr>
        <w:t>责任</w:t>
      </w:r>
      <w:r>
        <w:rPr>
          <w:rFonts w:hint="eastAsia" w:ascii="仿宋_GB2312" w:hAnsi="仿宋_GB2312" w:eastAsia="仿宋_GB2312" w:cs="仿宋_GB2312"/>
          <w:sz w:val="32"/>
          <w:szCs w:val="32"/>
          <w:highlight w:val="none"/>
        </w:rPr>
        <w:t>、推动</w:t>
      </w:r>
      <w:r>
        <w:rPr>
          <w:rFonts w:hint="eastAsia" w:ascii="仿宋_GB2312" w:hAnsi="仿宋_GB2312" w:eastAsia="仿宋_GB2312" w:cs="仿宋_GB2312"/>
          <w:sz w:val="32"/>
          <w:szCs w:val="32"/>
          <w:highlight w:val="none"/>
          <w:lang w:val="en-US" w:eastAsia="zh-CN"/>
        </w:rPr>
        <w:t>产业协调发展</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落实平安港门使命</w:t>
      </w:r>
      <w:r>
        <w:rPr>
          <w:rFonts w:hint="eastAsia" w:ascii="仿宋_GB2312" w:hAnsi="仿宋_GB2312" w:eastAsia="仿宋_GB2312" w:cs="仿宋_GB2312"/>
          <w:sz w:val="32"/>
          <w:szCs w:val="32"/>
          <w:highlight w:val="none"/>
        </w:rPr>
        <w:t>，以实际行动践行“四个意识”、坚定“四个自信”、坚决做到“两个维护”。</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lang w:val="en-US" w:eastAsia="zh-CN"/>
        </w:rPr>
        <w:t>（二）坚持发展是第一要务。</w:t>
      </w:r>
      <w:r>
        <w:rPr>
          <w:rFonts w:hint="eastAsia" w:ascii="仿宋_GB2312" w:hAnsi="仿宋_GB2312" w:eastAsia="仿宋_GB2312" w:cs="仿宋_GB2312"/>
          <w:sz w:val="32"/>
          <w:szCs w:val="32"/>
          <w:highlight w:val="none"/>
        </w:rPr>
        <w:t>锚定</w:t>
      </w:r>
      <w:r>
        <w:rPr>
          <w:rFonts w:hint="eastAsia" w:ascii="仿宋_GB2312" w:hAnsi="仿宋_GB2312" w:eastAsia="仿宋_GB2312" w:cs="仿宋_GB2312"/>
          <w:sz w:val="32"/>
          <w:szCs w:val="32"/>
          <w:highlight w:val="none"/>
          <w:lang w:val="en-US" w:eastAsia="zh-CN"/>
        </w:rPr>
        <w:t>港门</w:t>
      </w:r>
      <w:r>
        <w:rPr>
          <w:rFonts w:hint="eastAsia" w:ascii="仿宋_GB2312" w:hAnsi="仿宋_GB2312" w:eastAsia="仿宋_GB2312" w:cs="仿宋_GB2312"/>
          <w:sz w:val="32"/>
          <w:szCs w:val="32"/>
          <w:highlight w:val="none"/>
        </w:rPr>
        <w:t>进入新发展阶段的坐标方位，在完整、准确、全面贯彻新发展理念中提高站位，找准融入新发展格局的优势定位，把提高政府行政效能和治理水平作为重要牵引，坚持以发展</w:t>
      </w:r>
      <w:r>
        <w:rPr>
          <w:rFonts w:hint="eastAsia" w:ascii="仿宋_GB2312" w:hAnsi="仿宋_GB2312" w:eastAsia="仿宋_GB2312" w:cs="仿宋_GB2312"/>
          <w:sz w:val="32"/>
          <w:szCs w:val="32"/>
          <w:highlight w:val="none"/>
          <w:lang w:val="en-US" w:eastAsia="zh-CN"/>
        </w:rPr>
        <w:t>看成果，</w:t>
      </w:r>
      <w:r>
        <w:rPr>
          <w:rFonts w:hint="eastAsia" w:ascii="仿宋_GB2312" w:hAnsi="仿宋_GB2312" w:eastAsia="仿宋_GB2312" w:cs="仿宋_GB2312"/>
          <w:sz w:val="32"/>
          <w:szCs w:val="32"/>
          <w:highlight w:val="none"/>
        </w:rPr>
        <w:t>全力打造高质量发展的</w:t>
      </w:r>
      <w:r>
        <w:rPr>
          <w:rFonts w:hint="eastAsia" w:ascii="仿宋_GB2312" w:hAnsi="仿宋_GB2312" w:eastAsia="仿宋_GB2312" w:cs="仿宋_GB2312"/>
          <w:sz w:val="32"/>
          <w:szCs w:val="32"/>
          <w:highlight w:val="none"/>
          <w:lang w:val="en-US" w:eastAsia="zh-CN"/>
        </w:rPr>
        <w:t>港门</w:t>
      </w:r>
      <w:r>
        <w:rPr>
          <w:rFonts w:hint="eastAsia" w:ascii="仿宋_GB2312" w:hAnsi="仿宋_GB2312" w:eastAsia="仿宋_GB2312" w:cs="仿宋_GB2312"/>
          <w:sz w:val="32"/>
          <w:szCs w:val="32"/>
          <w:highlight w:val="none"/>
        </w:rPr>
        <w:t>示范、高效能治理的</w:t>
      </w:r>
      <w:r>
        <w:rPr>
          <w:rFonts w:hint="eastAsia" w:ascii="仿宋_GB2312" w:hAnsi="仿宋_GB2312" w:eastAsia="仿宋_GB2312" w:cs="仿宋_GB2312"/>
          <w:sz w:val="32"/>
          <w:szCs w:val="32"/>
          <w:highlight w:val="none"/>
          <w:lang w:val="en-US" w:eastAsia="zh-CN"/>
        </w:rPr>
        <w:t>港门</w:t>
      </w:r>
      <w:r>
        <w:rPr>
          <w:rFonts w:hint="eastAsia" w:ascii="仿宋_GB2312" w:hAnsi="仿宋_GB2312" w:eastAsia="仿宋_GB2312" w:cs="仿宋_GB2312"/>
          <w:sz w:val="32"/>
          <w:szCs w:val="32"/>
          <w:highlight w:val="none"/>
        </w:rPr>
        <w:t>样板。</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lang w:val="en-US" w:eastAsia="zh-CN"/>
        </w:rPr>
        <w:t>（三）坚持把绿色发展、生态产业、美丽宜居作为发展先手。</w:t>
      </w:r>
      <w:r>
        <w:rPr>
          <w:rFonts w:hint="eastAsia" w:ascii="仿宋_GB2312" w:hAnsi="仿宋_GB2312" w:eastAsia="仿宋_GB2312" w:cs="仿宋_GB2312"/>
          <w:sz w:val="32"/>
          <w:szCs w:val="32"/>
          <w:highlight w:val="none"/>
        </w:rPr>
        <w:t>深入贯彻习近平生态文明思想，持续打好碧水、蓝天保卫战，树牢生态优先、绿色发展的鲜明导向。</w:t>
      </w:r>
      <w:r>
        <w:rPr>
          <w:rFonts w:hint="eastAsia" w:ascii="仿宋_GB2312" w:hAnsi="仿宋_GB2312" w:eastAsia="仿宋_GB2312" w:cs="仿宋_GB2312"/>
          <w:sz w:val="32"/>
          <w:szCs w:val="32"/>
          <w:highlight w:val="none"/>
          <w:lang w:val="en-US" w:eastAsia="zh-CN"/>
        </w:rPr>
        <w:t>坚持</w:t>
      </w:r>
      <w:r>
        <w:rPr>
          <w:rFonts w:hint="eastAsia" w:ascii="仿宋_GB2312" w:hAnsi="仿宋_GB2312" w:eastAsia="仿宋_GB2312" w:cs="仿宋_GB2312"/>
          <w:sz w:val="32"/>
          <w:szCs w:val="32"/>
          <w:highlight w:val="none"/>
        </w:rPr>
        <w:t>绿水青山就是金山银山这篇大文章</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把美丽乡村</w:t>
      </w:r>
      <w:r>
        <w:rPr>
          <w:rFonts w:hint="eastAsia" w:ascii="仿宋_GB2312" w:hAnsi="仿宋_GB2312" w:eastAsia="仿宋_GB2312" w:cs="仿宋_GB2312"/>
          <w:sz w:val="32"/>
          <w:szCs w:val="32"/>
          <w:highlight w:val="none"/>
          <w:lang w:val="en-US" w:eastAsia="zh-CN"/>
        </w:rPr>
        <w:t>和</w:t>
      </w:r>
      <w:r>
        <w:rPr>
          <w:rFonts w:hint="eastAsia" w:ascii="仿宋_GB2312" w:hAnsi="仿宋_GB2312" w:eastAsia="仿宋_GB2312" w:cs="仿宋_GB2312"/>
          <w:sz w:val="32"/>
          <w:szCs w:val="32"/>
          <w:highlight w:val="none"/>
        </w:rPr>
        <w:t>生产生活融合起来。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lang w:val="en-US" w:eastAsia="zh-CN"/>
        </w:rPr>
        <w:t>（四）坚持问题导向，树立政府工作底线思维。</w:t>
      </w:r>
      <w:r>
        <w:rPr>
          <w:rFonts w:hint="eastAsia" w:ascii="仿宋_GB2312" w:hAnsi="仿宋_GB2312" w:eastAsia="仿宋_GB2312" w:cs="仿宋_GB2312"/>
          <w:sz w:val="32"/>
          <w:szCs w:val="32"/>
          <w:highlight w:val="none"/>
        </w:rPr>
        <w:t>坚持问题导向，</w:t>
      </w:r>
      <w:r>
        <w:rPr>
          <w:rFonts w:hint="eastAsia" w:ascii="仿宋_GB2312" w:hAnsi="仿宋_GB2312" w:eastAsia="仿宋_GB2312" w:cs="仿宋_GB2312"/>
          <w:sz w:val="32"/>
          <w:szCs w:val="32"/>
          <w:highlight w:val="none"/>
          <w:lang w:eastAsia="zh-CN"/>
        </w:rPr>
        <w:t>在</w:t>
      </w:r>
      <w:r>
        <w:rPr>
          <w:rFonts w:hint="eastAsia" w:ascii="仿宋_GB2312" w:hAnsi="仿宋_GB2312" w:eastAsia="仿宋_GB2312" w:cs="仿宋_GB2312"/>
          <w:sz w:val="32"/>
          <w:szCs w:val="32"/>
          <w:highlight w:val="none"/>
        </w:rPr>
        <w:t>工作落实上下真功夫、大功夫、狠功夫。加强全局性谋划，切实提高政策执行力</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法治规范力</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增强忧患意识，防患未然，既有防范风险的先手，又有化解挑战的高招，奋力在危机中育先机、于变局中开新局。</w:t>
      </w:r>
    </w:p>
    <w:p>
      <w:pPr>
        <w:jc w:val="center"/>
        <w:rPr>
          <w:rFonts w:hint="eastAsia" w:ascii="方正小标宋简体" w:hAnsi="方正小标宋简体" w:eastAsia="方正小标宋简体" w:cs="方正小标宋简体"/>
          <w:b/>
          <w:bCs/>
          <w:sz w:val="36"/>
          <w:szCs w:val="36"/>
          <w:highlight w:val="none"/>
          <w:lang w:val="en-US" w:eastAsia="zh-CN"/>
        </w:rPr>
      </w:pPr>
      <w:r>
        <w:rPr>
          <w:rFonts w:hint="eastAsia" w:ascii="方正小标宋简体" w:hAnsi="方正小标宋简体" w:eastAsia="方正小标宋简体" w:cs="方正小标宋简体"/>
          <w:b/>
          <w:bCs/>
          <w:sz w:val="36"/>
          <w:szCs w:val="36"/>
          <w:highlight w:val="none"/>
          <w:lang w:val="en-US" w:eastAsia="zh-CN"/>
        </w:rPr>
        <w:t>2021年工作安排</w:t>
      </w: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2021年是中国共产党成立100周年，是</w:t>
      </w:r>
      <w:r>
        <w:rPr>
          <w:rFonts w:hint="eastAsia" w:ascii="仿宋_GB2312" w:hAnsi="仿宋_GB2312" w:eastAsia="仿宋_GB2312" w:cs="仿宋_GB2312"/>
          <w:sz w:val="32"/>
          <w:szCs w:val="32"/>
          <w:highlight w:val="none"/>
          <w:lang w:val="en-US" w:eastAsia="zh-CN"/>
        </w:rPr>
        <w:t>我国</w:t>
      </w:r>
      <w:r>
        <w:rPr>
          <w:rFonts w:hint="eastAsia" w:ascii="仿宋_GB2312" w:hAnsi="仿宋_GB2312" w:eastAsia="仿宋_GB2312" w:cs="仿宋_GB2312"/>
          <w:sz w:val="32"/>
          <w:szCs w:val="32"/>
          <w:highlight w:val="none"/>
        </w:rPr>
        <w:t>实施“十四五”规划、开启全面建设社会主义现代化国家新征程的第一年，也是</w:t>
      </w:r>
      <w:r>
        <w:rPr>
          <w:rFonts w:hint="eastAsia" w:ascii="仿宋_GB2312" w:hAnsi="仿宋_GB2312" w:eastAsia="仿宋_GB2312" w:cs="仿宋_GB2312"/>
          <w:sz w:val="32"/>
          <w:szCs w:val="32"/>
          <w:highlight w:val="none"/>
          <w:lang w:val="en-US" w:eastAsia="zh-CN"/>
        </w:rPr>
        <w:t>港门持续实施乡村振兴战略，抓住“弯道赶超”的新机遇。因此，我们要始终坚持跨越式发展不动摇，始终坚持“富民强镇”战略目标不动摇，持续巩固脱贫攻坚成效，确保各项工作能够立足现有基础，继续乘势而上。</w:t>
      </w:r>
    </w:p>
    <w:p>
      <w:pPr>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要做好上述工作</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今年将</w:t>
      </w:r>
      <w:r>
        <w:rPr>
          <w:rFonts w:hint="eastAsia" w:ascii="仿宋_GB2312" w:hAnsi="仿宋_GB2312" w:eastAsia="仿宋_GB2312" w:cs="仿宋_GB2312"/>
          <w:sz w:val="32"/>
          <w:szCs w:val="32"/>
          <w:highlight w:val="none"/>
        </w:rPr>
        <w:t>重点抓好以下</w:t>
      </w:r>
      <w:r>
        <w:rPr>
          <w:rFonts w:hint="eastAsia" w:ascii="仿宋_GB2312" w:hAnsi="仿宋_GB2312" w:eastAsia="仿宋_GB2312" w:cs="仿宋_GB2312"/>
          <w:sz w:val="32"/>
          <w:szCs w:val="32"/>
          <w:highlight w:val="none"/>
          <w:lang w:val="en-US" w:eastAsia="zh-CN"/>
        </w:rPr>
        <w:t>几方面</w:t>
      </w:r>
      <w:r>
        <w:rPr>
          <w:rFonts w:hint="eastAsia" w:ascii="仿宋_GB2312" w:hAnsi="仿宋_GB2312" w:eastAsia="仿宋_GB2312" w:cs="仿宋_GB2312"/>
          <w:sz w:val="32"/>
          <w:szCs w:val="32"/>
          <w:highlight w:val="none"/>
          <w:lang w:eastAsia="zh-CN"/>
        </w:rPr>
        <w:t>：</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一、加强党建引领，夯实基层战斗堡垒</w:t>
      </w:r>
    </w:p>
    <w:p>
      <w:pPr>
        <w:numPr>
          <w:ilvl w:val="0"/>
          <w:numId w:val="0"/>
        </w:num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加强理论学习。</w:t>
      </w:r>
      <w:r>
        <w:rPr>
          <w:rFonts w:hint="eastAsia" w:ascii="仿宋_GB2312" w:hAnsi="仿宋_GB2312" w:eastAsia="仿宋_GB2312" w:cs="仿宋_GB2312"/>
          <w:sz w:val="32"/>
          <w:szCs w:val="32"/>
          <w:highlight w:val="none"/>
          <w:lang w:val="en-US" w:eastAsia="zh-CN"/>
        </w:rPr>
        <w:t>坚持以习近平新时代中国特色社会主义思想为指导，全面落实党的十九大和十九届二中、三中、四中、五中全会精神，深入开展党史学习教育</w:t>
      </w:r>
      <w:bookmarkStart w:id="1" w:name="_GoBack"/>
      <w:bookmarkEnd w:id="1"/>
      <w:r>
        <w:rPr>
          <w:rFonts w:hint="eastAsia" w:ascii="仿宋_GB2312" w:hAnsi="仿宋_GB2312" w:eastAsia="仿宋_GB2312" w:cs="仿宋_GB2312"/>
          <w:sz w:val="32"/>
          <w:szCs w:val="32"/>
          <w:highlight w:val="none"/>
          <w:lang w:val="en-US" w:eastAsia="zh-CN"/>
        </w:rPr>
        <w:t>，做好《榜样5》等理论的学习</w:t>
      </w:r>
      <w:r>
        <w:rPr>
          <w:rFonts w:hint="eastAsia" w:ascii="仿宋_GB2312" w:hAnsi="仿宋_GB2312" w:eastAsia="仿宋_GB2312" w:cs="仿宋_GB2312"/>
          <w:b/>
          <w:bCs/>
          <w:sz w:val="32"/>
          <w:szCs w:val="32"/>
          <w:highlight w:val="none"/>
          <w:lang w:val="en-US" w:eastAsia="zh-CN"/>
        </w:rPr>
        <w:t>。加强农村基层党建工作。</w:t>
      </w:r>
      <w:r>
        <w:rPr>
          <w:rFonts w:hint="eastAsia" w:ascii="仿宋_GB2312" w:hAnsi="仿宋_GB2312" w:eastAsia="仿宋_GB2312" w:cs="仿宋_GB2312"/>
          <w:sz w:val="32"/>
          <w:szCs w:val="32"/>
          <w:highlight w:val="none"/>
          <w:lang w:val="en-US" w:eastAsia="zh-CN"/>
        </w:rPr>
        <w:t>深入开展“三会一课”，做好党员发展工作，注重吸收能力强、思想意识好、有培养价值的年轻人加入党组织。加强农村党支部领导班子队伍建设，培养一批有学历、年轻化的村级后备干部，不断提升村班子成员的理论水平和农村工作能力。</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二、加快乡村振兴步伐，续写脱贫攻坚新序章</w:t>
      </w:r>
    </w:p>
    <w:p>
      <w:pPr>
        <w:numPr>
          <w:ilvl w:val="0"/>
          <w:numId w:val="0"/>
        </w:num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巩固扶贫成果。</w:t>
      </w:r>
      <w:r>
        <w:rPr>
          <w:rFonts w:hint="eastAsia" w:ascii="仿宋_GB2312" w:hAnsi="仿宋_GB2312" w:eastAsia="仿宋_GB2312" w:cs="仿宋_GB2312"/>
          <w:sz w:val="32"/>
          <w:szCs w:val="32"/>
          <w:highlight w:val="none"/>
          <w:lang w:val="en-US" w:eastAsia="zh-CN"/>
        </w:rPr>
        <w:t>要坚决守住脱贫攻坚成果，做好巩固拓展脱贫攻坚成果同乡村振兴战略的有效衔接，加快推进乡村产业、人才、生态、组织等全面振兴。</w:t>
      </w:r>
      <w:r>
        <w:rPr>
          <w:rFonts w:hint="eastAsia" w:ascii="仿宋_GB2312" w:hAnsi="仿宋_GB2312" w:eastAsia="仿宋_GB2312" w:cs="仿宋_GB2312"/>
          <w:b/>
          <w:bCs/>
          <w:sz w:val="32"/>
          <w:szCs w:val="32"/>
          <w:highlight w:val="none"/>
          <w:lang w:val="en-US" w:eastAsia="zh-CN"/>
        </w:rPr>
        <w:t>积极发展新型产业。</w:t>
      </w:r>
      <w:r>
        <w:rPr>
          <w:rFonts w:hint="eastAsia" w:ascii="仿宋_GB2312" w:hAnsi="仿宋_GB2312" w:eastAsia="仿宋_GB2312" w:cs="仿宋_GB2312"/>
          <w:sz w:val="32"/>
          <w:szCs w:val="32"/>
          <w:highlight w:val="none"/>
          <w:lang w:val="en-US" w:eastAsia="zh-CN"/>
        </w:rPr>
        <w:t>借力“互联网+”，进一步促进港门产业融合发展。大力发展农业专业合作社，提高香蕉、火龙果、番薯等附加值，形成优势产业，激发村民内生动力。持续加强技能培训，加强就业创业能力。发展数字农业，推动数字乡村工程。做好农产品市场体系建设，树立农业品牌。</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三、加快长效机制建设，突出厚植生态环境新优势</w:t>
      </w:r>
    </w:p>
    <w:p>
      <w:pPr>
        <w:numPr>
          <w:ilvl w:val="0"/>
          <w:numId w:val="0"/>
        </w:numPr>
        <w:ind w:firstLine="643" w:firstLineChars="200"/>
        <w:rPr>
          <w:rFonts w:hint="eastAsia" w:ascii="仿宋_GB2312" w:hAnsi="仿宋_GB2312" w:eastAsia="仿宋_GB2312" w:cs="仿宋_GB2312"/>
          <w:sz w:val="32"/>
          <w:szCs w:val="32"/>
          <w:highlight w:val="none"/>
          <w:lang w:val="en-US"/>
        </w:rPr>
      </w:pPr>
      <w:r>
        <w:rPr>
          <w:rFonts w:hint="eastAsia" w:ascii="仿宋_GB2312" w:hAnsi="仿宋_GB2312" w:eastAsia="仿宋_GB2312" w:cs="仿宋_GB2312"/>
          <w:b/>
          <w:bCs/>
          <w:sz w:val="32"/>
          <w:szCs w:val="32"/>
          <w:highlight w:val="none"/>
          <w:lang w:val="en-US" w:eastAsia="zh-CN"/>
        </w:rPr>
        <w:t>严守生态保护红线。</w:t>
      </w:r>
      <w:r>
        <w:rPr>
          <w:rFonts w:hint="eastAsia" w:ascii="仿宋_GB2312" w:hAnsi="仿宋_GB2312" w:eastAsia="仿宋_GB2312" w:cs="仿宋_GB2312"/>
          <w:sz w:val="32"/>
          <w:szCs w:val="32"/>
          <w:highlight w:val="none"/>
          <w:lang w:val="en-US" w:eastAsia="zh-CN"/>
        </w:rPr>
        <w:t>对破坏环境行为“零容忍”。开展好乐民河港门段综合治理，降低农业面源污染，打好碧水攻坚战；加强大气污染防治，打赢蓝天保卫战。在全镇大力开展补绿、建绿、透绿工作，在105条自然村中广泛开展村庄绿化，道路绿化，让空气常新、绿水长流、蓝天常在。</w:t>
      </w:r>
      <w:r>
        <w:rPr>
          <w:rFonts w:hint="eastAsia" w:ascii="仿宋_GB2312" w:hAnsi="仿宋_GB2312" w:eastAsia="仿宋_GB2312" w:cs="仿宋_GB2312"/>
          <w:b/>
          <w:bCs/>
          <w:sz w:val="32"/>
          <w:szCs w:val="32"/>
          <w:highlight w:val="none"/>
          <w:lang w:val="en-US" w:eastAsia="zh-CN"/>
        </w:rPr>
        <w:t>做好污水处理工作。</w:t>
      </w:r>
      <w:r>
        <w:rPr>
          <w:rFonts w:hint="eastAsia" w:ascii="仿宋_GB2312" w:hAnsi="仿宋_GB2312" w:eastAsia="仿宋_GB2312" w:cs="仿宋_GB2312"/>
          <w:sz w:val="32"/>
          <w:szCs w:val="32"/>
          <w:highlight w:val="none"/>
          <w:lang w:val="en-US" w:eastAsia="zh-CN"/>
        </w:rPr>
        <w:t>12个行政村的农村生活污水管网建设覆盖率达到100%，农村生活污水处理设施建设覆盖率达到60%。加快农房管控和风貌提升工程建设。</w:t>
      </w:r>
      <w:r>
        <w:rPr>
          <w:rFonts w:hint="eastAsia" w:ascii="仿宋_GB2312" w:hAnsi="仿宋_GB2312" w:eastAsia="仿宋_GB2312" w:cs="仿宋_GB2312"/>
          <w:b/>
          <w:bCs/>
          <w:sz w:val="32"/>
          <w:szCs w:val="32"/>
          <w:highlight w:val="none"/>
          <w:lang w:val="en-US" w:eastAsia="zh-CN"/>
        </w:rPr>
        <w:t>开展农村制度改革。</w:t>
      </w:r>
      <w:r>
        <w:rPr>
          <w:rFonts w:hint="eastAsia" w:ascii="仿宋_GB2312" w:hAnsi="仿宋_GB2312" w:eastAsia="仿宋_GB2312" w:cs="仿宋_GB2312"/>
          <w:sz w:val="32"/>
          <w:szCs w:val="32"/>
          <w:highlight w:val="none"/>
          <w:lang w:val="en-US" w:eastAsia="zh-CN"/>
        </w:rPr>
        <w:t>深入开展农村土地制度改革，全面实施农村宅基地与集体建设用地“房地一体”确权登记颁证。严守农村耕地红线，从严整治违法占用耕地现象。全面完成高位池尾水改造，推动镇村污水处理设施稳定运行。</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四、为民服务解难题，民生事业再提升</w:t>
      </w:r>
    </w:p>
    <w:p>
      <w:pPr>
        <w:numPr>
          <w:ilvl w:val="0"/>
          <w:numId w:val="0"/>
        </w:num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提高人力资源水平。</w:t>
      </w:r>
      <w:r>
        <w:rPr>
          <w:rFonts w:hint="eastAsia" w:ascii="仿宋_GB2312" w:hAnsi="仿宋_GB2312" w:eastAsia="仿宋_GB2312" w:cs="仿宋_GB2312"/>
          <w:sz w:val="32"/>
          <w:szCs w:val="32"/>
          <w:highlight w:val="none"/>
          <w:lang w:val="en-US" w:eastAsia="zh-CN"/>
        </w:rPr>
        <w:t>通过技能培训，进一步提高我镇劳动力素质。加大对农村人力资源开发的投入，积极开展特色培训和对口培训，规范管理，完善服务。加大外出务工人员致富典型的宣传力度，使他们尽快加入劳务输出的行列。</w:t>
      </w:r>
      <w:r>
        <w:rPr>
          <w:rFonts w:hint="eastAsia" w:ascii="仿宋_GB2312" w:hAnsi="仿宋_GB2312" w:eastAsia="仿宋_GB2312" w:cs="仿宋_GB2312"/>
          <w:b/>
          <w:bCs/>
          <w:sz w:val="32"/>
          <w:szCs w:val="32"/>
          <w:highlight w:val="none"/>
          <w:lang w:val="en-US" w:eastAsia="zh-CN"/>
        </w:rPr>
        <w:t>落实医保政策。</w:t>
      </w:r>
      <w:r>
        <w:rPr>
          <w:rFonts w:hint="eastAsia" w:ascii="仿宋_GB2312" w:hAnsi="仿宋_GB2312" w:eastAsia="仿宋_GB2312" w:cs="仿宋_GB2312"/>
          <w:sz w:val="32"/>
          <w:szCs w:val="32"/>
          <w:highlight w:val="none"/>
          <w:lang w:val="en-US" w:eastAsia="zh-CN"/>
        </w:rPr>
        <w:t>加大宣传养老政策，让符合参保条件的人员全部参保，享受国家各项优惠政策。完善社会救助体系，认真落实国家有关救助政策。加强群众宣传，深化殡葬改革。加强教育发展，加快建设中小学教学楼，引导家长参与教育改革。强化师德师风建设，加强学校安全管理。</w:t>
      </w:r>
      <w:r>
        <w:rPr>
          <w:rFonts w:hint="eastAsia" w:ascii="仿宋_GB2312" w:hAnsi="仿宋_GB2312" w:eastAsia="仿宋_GB2312" w:cs="仿宋_GB2312"/>
          <w:b/>
          <w:bCs/>
          <w:sz w:val="32"/>
          <w:szCs w:val="32"/>
          <w:highlight w:val="none"/>
          <w:lang w:val="en-US" w:eastAsia="zh-CN"/>
        </w:rPr>
        <w:t>做好卫生健康工作。</w:t>
      </w:r>
      <w:r>
        <w:rPr>
          <w:rFonts w:hint="eastAsia" w:ascii="仿宋_GB2312" w:hAnsi="仿宋_GB2312" w:eastAsia="仿宋_GB2312" w:cs="仿宋_GB2312"/>
          <w:b w:val="0"/>
          <w:bCs w:val="0"/>
          <w:sz w:val="32"/>
          <w:szCs w:val="32"/>
          <w:highlight w:val="none"/>
          <w:lang w:val="en-US" w:eastAsia="zh-CN"/>
        </w:rPr>
        <w:t>有</w:t>
      </w:r>
      <w:r>
        <w:rPr>
          <w:rFonts w:hint="eastAsia" w:ascii="仿宋_GB2312" w:hAnsi="仿宋_GB2312" w:eastAsia="仿宋_GB2312" w:cs="仿宋_GB2312"/>
          <w:sz w:val="32"/>
          <w:szCs w:val="32"/>
          <w:highlight w:val="none"/>
          <w:lang w:val="en-US" w:eastAsia="zh-CN"/>
        </w:rPr>
        <w:t>序开展新冠疫苗接种工作。优化医疗卫生服务，做好医保扩面征缴，加强卫生知识宣传。加强文体事业发展，推动文化惠民工程，建设村级篮球场，完善农家书屋模式，开展送戏下乡活动。</w:t>
      </w:r>
      <w:r>
        <w:rPr>
          <w:rFonts w:hint="eastAsia" w:ascii="仿宋_GB2312" w:hAnsi="仿宋_GB2312" w:eastAsia="仿宋_GB2312" w:cs="仿宋_GB2312"/>
          <w:b/>
          <w:bCs/>
          <w:sz w:val="32"/>
          <w:szCs w:val="32"/>
          <w:highlight w:val="none"/>
          <w:lang w:val="en-US" w:eastAsia="zh-CN"/>
        </w:rPr>
        <w:t>巩固安全生产工作。</w:t>
      </w:r>
      <w:r>
        <w:rPr>
          <w:rFonts w:hint="eastAsia" w:ascii="仿宋_GB2312" w:hAnsi="仿宋_GB2312" w:eastAsia="仿宋_GB2312" w:cs="仿宋_GB2312"/>
          <w:sz w:val="32"/>
          <w:szCs w:val="32"/>
          <w:highlight w:val="none"/>
          <w:lang w:val="en-US" w:eastAsia="zh-CN"/>
        </w:rPr>
        <w:t>深入开展安全生产专项整治，重点检查中小学、加油站等场所。落实三防汛期24小时值班制，积极应对突发灾害。狠抓道路交通安全，严格落实“一盔一带”制，加强建筑、消防、森林防火等专项整治宣传工作。</w:t>
      </w:r>
    </w:p>
    <w:p>
      <w:pPr>
        <w:numPr>
          <w:ilvl w:val="0"/>
          <w:numId w:val="0"/>
        </w:numPr>
        <w:ind w:firstLine="640" w:firstLineChars="200"/>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五、建设服务型政府，提升政府治理效能</w:t>
      </w:r>
    </w:p>
    <w:p>
      <w:pPr>
        <w:numPr>
          <w:ilvl w:val="0"/>
          <w:numId w:val="0"/>
        </w:numPr>
        <w:ind w:firstLine="643"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lang w:val="en-US" w:eastAsia="zh-CN"/>
        </w:rPr>
        <w:t>坚持依法行政。</w:t>
      </w:r>
      <w:r>
        <w:rPr>
          <w:rFonts w:hint="eastAsia" w:ascii="仿宋_GB2312" w:hAnsi="仿宋_GB2312" w:eastAsia="仿宋_GB2312" w:cs="仿宋_GB2312"/>
          <w:sz w:val="32"/>
          <w:szCs w:val="32"/>
          <w:highlight w:val="none"/>
          <w:lang w:val="en-US" w:eastAsia="zh-CN"/>
        </w:rPr>
        <w:t>积极开展普法宣传教育活动，加强审计监督，强化服务职能，进一步转变工作作风，科学管理，提高决策水平，用制度管人，规范行为。做好政务信息公开工作。深化作风建设，持续整治形式主义、官僚主义，营造求真务实工作作风。</w:t>
      </w:r>
      <w:r>
        <w:rPr>
          <w:rFonts w:hint="eastAsia" w:ascii="仿宋_GB2312" w:hAnsi="仿宋_GB2312" w:eastAsia="仿宋_GB2312" w:cs="仿宋_GB2312"/>
          <w:b/>
          <w:bCs/>
          <w:sz w:val="32"/>
          <w:szCs w:val="32"/>
          <w:highlight w:val="none"/>
          <w:lang w:val="en-US" w:eastAsia="zh-CN"/>
        </w:rPr>
        <w:t>建设廉洁政府。</w:t>
      </w:r>
      <w:r>
        <w:rPr>
          <w:rFonts w:hint="eastAsia" w:ascii="仿宋_GB2312" w:hAnsi="仿宋_GB2312" w:eastAsia="仿宋_GB2312" w:cs="仿宋_GB2312"/>
          <w:sz w:val="32"/>
          <w:szCs w:val="32"/>
          <w:highlight w:val="none"/>
          <w:lang w:val="en-US" w:eastAsia="zh-CN"/>
        </w:rPr>
        <w:t>严格落实党风廉政建设各项规定，加强廉政教育，严肃整治群众身边的不正之风和腐败问题。进一步接受社会和人民群众的监督，让公共权力在阳光下运行，实现港门经济社会发展迈上新台阶。</w:t>
      </w:r>
    </w:p>
    <w:p>
      <w:pPr>
        <w:numPr>
          <w:ilvl w:val="0"/>
          <w:numId w:val="0"/>
        </w:num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各位代表！征途漫漫，惟有奋斗。让我们在镇委的坚强领导下，带领全体港门人民，齐心协力，开拓进取，扎实工作，统筹疫情防控工作和经济社会发展，坚持高质量发展道路，全面推进“乡村振兴”战略，奋力谱写港门新时代追赶超越新篇章！为实现中华民族伟大复兴的中国梦而努力奋斗！以优异成绩庆祝建党100周年！</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2CFD4BB2-3C23-41EB-9ACB-42C9A4B1B41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方正小标宋简体">
    <w:panose1 w:val="02000000000000000000"/>
    <w:charset w:val="86"/>
    <w:family w:val="auto"/>
    <w:pitch w:val="default"/>
    <w:sig w:usb0="00000001" w:usb1="08000000" w:usb2="00000000" w:usb3="00000000" w:csb0="00040000" w:csb1="00000000"/>
    <w:embedRegular r:id="rId2" w:fontKey="{FEF87C5B-025A-4AE6-8026-FC5A53A6B2B9}"/>
  </w:font>
  <w:font w:name="楷体">
    <w:panose1 w:val="02010609060101010101"/>
    <w:charset w:val="86"/>
    <w:family w:val="modern"/>
    <w:pitch w:val="default"/>
    <w:sig w:usb0="800002BF" w:usb1="38CF7CFA" w:usb2="00000016" w:usb3="00000000" w:csb0="00040001" w:csb1="00000000"/>
    <w:embedRegular r:id="rId3" w:fontKey="{F4BD87E4-2A50-42B5-A727-DFAF099E88FB}"/>
  </w:font>
  <w:font w:name="仿宋_GB2312">
    <w:panose1 w:val="02010609030101010101"/>
    <w:charset w:val="86"/>
    <w:family w:val="auto"/>
    <w:pitch w:val="default"/>
    <w:sig w:usb0="00000001" w:usb1="080E0000" w:usb2="00000000" w:usb3="00000000" w:csb0="00040000" w:csb1="00000000"/>
    <w:embedRegular r:id="rId4" w:fontKey="{A578D0BF-1032-43F8-84BD-C3BE744F12B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2219325</wp:posOffset>
              </wp:positionH>
              <wp:positionV relativeFrom="paragraph">
                <wp:posOffset>-132715</wp:posOffset>
              </wp:positionV>
              <wp:extent cx="807720" cy="2876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807720" cy="2876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74.75pt;margin-top:-10.45pt;height:22.65pt;width:63.6pt;mso-position-horizontal-relative:margin;z-index:251659264;mso-width-relative:page;mso-height-relative:page;" filled="f" stroked="f" coordsize="21600,21600" o:gfxdata="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SMMx82QAAAAoBAAAPAAAAAAAAAAEAIAAAACIAAABkcnMvZG93&#10;bnJldi54bWxQSwECFAAUAAAACACHTuJAGsAL2TgCAABhBAAADgAAAAAAAAABACAAAAAoAQAAZHJz&#10;L2Uyb0RvYy54bWxQSwUGAAAAAAYABgBZAQAA0gUAAAAA&#10;">
              <v:fill on="f" focussize="0,0"/>
              <v:stroke on="f" weight="0.5pt"/>
              <v:imagedata o:title=""/>
              <o:lock v:ext="edit" aspectratio="f"/>
              <v:textbox inset="0mm,0mm,0mm,0mm">
                <w:txbxContent>
                  <w:p>
                    <w:pPr>
                      <w:pStyle w:val="6"/>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NjEwMjA4Zjc1OGQ3YzUxYzU4OWY3YTcyNzVlMTUifQ=="/>
  </w:docVars>
  <w:rsids>
    <w:rsidRoot w:val="00000000"/>
    <w:rsid w:val="0007684D"/>
    <w:rsid w:val="00121B0C"/>
    <w:rsid w:val="00520D05"/>
    <w:rsid w:val="007425A3"/>
    <w:rsid w:val="00CD5068"/>
    <w:rsid w:val="01534115"/>
    <w:rsid w:val="01792994"/>
    <w:rsid w:val="028546F9"/>
    <w:rsid w:val="049F6E67"/>
    <w:rsid w:val="04E65268"/>
    <w:rsid w:val="05B67548"/>
    <w:rsid w:val="05CD2D43"/>
    <w:rsid w:val="07071879"/>
    <w:rsid w:val="074A6B08"/>
    <w:rsid w:val="0894007E"/>
    <w:rsid w:val="08AF5908"/>
    <w:rsid w:val="091776A2"/>
    <w:rsid w:val="09F71968"/>
    <w:rsid w:val="0A031D81"/>
    <w:rsid w:val="0AC8299E"/>
    <w:rsid w:val="0B0F7BDF"/>
    <w:rsid w:val="0B4D4E6E"/>
    <w:rsid w:val="0C3920DC"/>
    <w:rsid w:val="0CD43BB8"/>
    <w:rsid w:val="0CD46244"/>
    <w:rsid w:val="0D400978"/>
    <w:rsid w:val="0E3B10F7"/>
    <w:rsid w:val="0EEB2D6B"/>
    <w:rsid w:val="0F79094F"/>
    <w:rsid w:val="1059492B"/>
    <w:rsid w:val="10B06CA8"/>
    <w:rsid w:val="11B03C8A"/>
    <w:rsid w:val="125410F5"/>
    <w:rsid w:val="12C54EA5"/>
    <w:rsid w:val="13093EC6"/>
    <w:rsid w:val="133F3702"/>
    <w:rsid w:val="135239EC"/>
    <w:rsid w:val="13744ED5"/>
    <w:rsid w:val="13A8235E"/>
    <w:rsid w:val="13F2795D"/>
    <w:rsid w:val="16FF7AA0"/>
    <w:rsid w:val="172811C3"/>
    <w:rsid w:val="17701940"/>
    <w:rsid w:val="17DC4CCF"/>
    <w:rsid w:val="17EA7A60"/>
    <w:rsid w:val="18473E1C"/>
    <w:rsid w:val="18A60CF3"/>
    <w:rsid w:val="18CD4129"/>
    <w:rsid w:val="18F85D68"/>
    <w:rsid w:val="19A0062F"/>
    <w:rsid w:val="1A4C08EE"/>
    <w:rsid w:val="1AA27C53"/>
    <w:rsid w:val="1B3615B9"/>
    <w:rsid w:val="1B7D21DA"/>
    <w:rsid w:val="1BAE4051"/>
    <w:rsid w:val="1D942127"/>
    <w:rsid w:val="1DDA5BE2"/>
    <w:rsid w:val="1E2261BC"/>
    <w:rsid w:val="1E492F3B"/>
    <w:rsid w:val="1F3550C9"/>
    <w:rsid w:val="1F8F7F86"/>
    <w:rsid w:val="210C388C"/>
    <w:rsid w:val="21431666"/>
    <w:rsid w:val="220655E1"/>
    <w:rsid w:val="22776DBF"/>
    <w:rsid w:val="22E40DB4"/>
    <w:rsid w:val="23E43E7B"/>
    <w:rsid w:val="24396B1C"/>
    <w:rsid w:val="252270CF"/>
    <w:rsid w:val="2563064E"/>
    <w:rsid w:val="270A6F49"/>
    <w:rsid w:val="27F51245"/>
    <w:rsid w:val="282F687F"/>
    <w:rsid w:val="283D49ED"/>
    <w:rsid w:val="2871092C"/>
    <w:rsid w:val="28DA4738"/>
    <w:rsid w:val="29153E77"/>
    <w:rsid w:val="2A2B523F"/>
    <w:rsid w:val="2AFC47AF"/>
    <w:rsid w:val="2BC944A1"/>
    <w:rsid w:val="2C6A42A3"/>
    <w:rsid w:val="2C923868"/>
    <w:rsid w:val="2E694F62"/>
    <w:rsid w:val="2EA66961"/>
    <w:rsid w:val="2EF61B52"/>
    <w:rsid w:val="2F084776"/>
    <w:rsid w:val="2F117823"/>
    <w:rsid w:val="2F917478"/>
    <w:rsid w:val="2FD5324C"/>
    <w:rsid w:val="30022917"/>
    <w:rsid w:val="300746DA"/>
    <w:rsid w:val="3038119F"/>
    <w:rsid w:val="30D07576"/>
    <w:rsid w:val="30E52D8E"/>
    <w:rsid w:val="321829FB"/>
    <w:rsid w:val="3241398A"/>
    <w:rsid w:val="32541539"/>
    <w:rsid w:val="334D0335"/>
    <w:rsid w:val="339A32AB"/>
    <w:rsid w:val="33F70BCE"/>
    <w:rsid w:val="351155B4"/>
    <w:rsid w:val="353A4204"/>
    <w:rsid w:val="36403739"/>
    <w:rsid w:val="36567BDE"/>
    <w:rsid w:val="37D60B5F"/>
    <w:rsid w:val="38DD0672"/>
    <w:rsid w:val="3983540B"/>
    <w:rsid w:val="39B57D8A"/>
    <w:rsid w:val="3A4409CF"/>
    <w:rsid w:val="3B4D2ADF"/>
    <w:rsid w:val="3B8C2F03"/>
    <w:rsid w:val="3C0E0034"/>
    <w:rsid w:val="3CB66842"/>
    <w:rsid w:val="3D9310A1"/>
    <w:rsid w:val="3DB5689F"/>
    <w:rsid w:val="3E1823E6"/>
    <w:rsid w:val="3E6544F1"/>
    <w:rsid w:val="3E6F790E"/>
    <w:rsid w:val="3E9055D3"/>
    <w:rsid w:val="3EE17C16"/>
    <w:rsid w:val="3F47202C"/>
    <w:rsid w:val="4098007B"/>
    <w:rsid w:val="41133F19"/>
    <w:rsid w:val="411A1AD7"/>
    <w:rsid w:val="426B2CE7"/>
    <w:rsid w:val="43344A97"/>
    <w:rsid w:val="44142202"/>
    <w:rsid w:val="46325301"/>
    <w:rsid w:val="47B02BE2"/>
    <w:rsid w:val="48F77402"/>
    <w:rsid w:val="4A161DD1"/>
    <w:rsid w:val="4A207C73"/>
    <w:rsid w:val="4B044C81"/>
    <w:rsid w:val="4B504A75"/>
    <w:rsid w:val="4B5D2CB7"/>
    <w:rsid w:val="4B7A05C5"/>
    <w:rsid w:val="4B8A6150"/>
    <w:rsid w:val="4C683729"/>
    <w:rsid w:val="4E4F0928"/>
    <w:rsid w:val="4E8B7AA0"/>
    <w:rsid w:val="4EAE7DB2"/>
    <w:rsid w:val="50556F1F"/>
    <w:rsid w:val="50D43E25"/>
    <w:rsid w:val="5149281B"/>
    <w:rsid w:val="51FE51CE"/>
    <w:rsid w:val="5234744B"/>
    <w:rsid w:val="52656371"/>
    <w:rsid w:val="528A5028"/>
    <w:rsid w:val="54635B9B"/>
    <w:rsid w:val="54A601D8"/>
    <w:rsid w:val="54D724E8"/>
    <w:rsid w:val="55090A92"/>
    <w:rsid w:val="5561417C"/>
    <w:rsid w:val="55D166E8"/>
    <w:rsid w:val="56BB0B28"/>
    <w:rsid w:val="56C40B8D"/>
    <w:rsid w:val="56DE7DBE"/>
    <w:rsid w:val="573F7DDC"/>
    <w:rsid w:val="5743181F"/>
    <w:rsid w:val="583578F1"/>
    <w:rsid w:val="583A6DC0"/>
    <w:rsid w:val="58A92458"/>
    <w:rsid w:val="592559D6"/>
    <w:rsid w:val="5AED6BAF"/>
    <w:rsid w:val="5BE12D84"/>
    <w:rsid w:val="5C4B2C52"/>
    <w:rsid w:val="5CAB69AB"/>
    <w:rsid w:val="5D221EDD"/>
    <w:rsid w:val="5D2778F7"/>
    <w:rsid w:val="5E1E5796"/>
    <w:rsid w:val="5E2A7F94"/>
    <w:rsid w:val="607052E4"/>
    <w:rsid w:val="61574582"/>
    <w:rsid w:val="61D11407"/>
    <w:rsid w:val="62A5549B"/>
    <w:rsid w:val="63EB3AB7"/>
    <w:rsid w:val="640F5485"/>
    <w:rsid w:val="645B71D3"/>
    <w:rsid w:val="64D153A0"/>
    <w:rsid w:val="64F2256B"/>
    <w:rsid w:val="65177A03"/>
    <w:rsid w:val="652A637E"/>
    <w:rsid w:val="67350094"/>
    <w:rsid w:val="674F01B1"/>
    <w:rsid w:val="67871580"/>
    <w:rsid w:val="679F7ADD"/>
    <w:rsid w:val="67D231F3"/>
    <w:rsid w:val="684939A7"/>
    <w:rsid w:val="68E94B67"/>
    <w:rsid w:val="69013E1D"/>
    <w:rsid w:val="693256D6"/>
    <w:rsid w:val="69DC2B2B"/>
    <w:rsid w:val="6AC64649"/>
    <w:rsid w:val="6AF42E0F"/>
    <w:rsid w:val="6B1B2A1A"/>
    <w:rsid w:val="6BE2592F"/>
    <w:rsid w:val="6C843BDA"/>
    <w:rsid w:val="6CB3542F"/>
    <w:rsid w:val="6CE05332"/>
    <w:rsid w:val="6CF857D0"/>
    <w:rsid w:val="6CFD7DED"/>
    <w:rsid w:val="6DE726D4"/>
    <w:rsid w:val="6E7D6C35"/>
    <w:rsid w:val="7015707E"/>
    <w:rsid w:val="702D62E9"/>
    <w:rsid w:val="702E61AA"/>
    <w:rsid w:val="708C0735"/>
    <w:rsid w:val="70A444AF"/>
    <w:rsid w:val="70FD2285"/>
    <w:rsid w:val="727C3490"/>
    <w:rsid w:val="730C502A"/>
    <w:rsid w:val="735D23A6"/>
    <w:rsid w:val="739A20C0"/>
    <w:rsid w:val="74C317E5"/>
    <w:rsid w:val="750B05D7"/>
    <w:rsid w:val="7528432F"/>
    <w:rsid w:val="755A194C"/>
    <w:rsid w:val="756D6460"/>
    <w:rsid w:val="769055E3"/>
    <w:rsid w:val="774C43EC"/>
    <w:rsid w:val="77A556E6"/>
    <w:rsid w:val="77C255E5"/>
    <w:rsid w:val="77C65B91"/>
    <w:rsid w:val="795A4B8E"/>
    <w:rsid w:val="7A5F36D4"/>
    <w:rsid w:val="7A9E275F"/>
    <w:rsid w:val="7ABB653E"/>
    <w:rsid w:val="7AFC5BE4"/>
    <w:rsid w:val="7B296DCE"/>
    <w:rsid w:val="7CB60C48"/>
    <w:rsid w:val="7CF2517F"/>
    <w:rsid w:val="7D3953DB"/>
    <w:rsid w:val="7DA828E0"/>
    <w:rsid w:val="7DC14DD9"/>
    <w:rsid w:val="7DCA480F"/>
    <w:rsid w:val="7DEB5AFB"/>
    <w:rsid w:val="7DF44FF3"/>
    <w:rsid w:val="7E100853"/>
    <w:rsid w:val="7EEF158D"/>
    <w:rsid w:val="7FAA0A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ind w:left="756"/>
      <w:outlineLvl w:val="1"/>
    </w:pPr>
    <w:rPr>
      <w:rFonts w:ascii="Microsoft JhengHei" w:hAnsi="Microsoft JhengHei" w:eastAsia="Microsoft JhengHei" w:cs="Microsoft JhengHei"/>
      <w:b/>
      <w:bCs/>
      <w:sz w:val="32"/>
      <w:szCs w:val="32"/>
      <w:lang w:val="zh-CN" w:eastAsia="zh-CN" w:bidi="zh-CN"/>
    </w:rPr>
  </w:style>
  <w:style w:type="character" w:default="1" w:styleId="11">
    <w:name w:val="Default Paragraph Font"/>
    <w:semiHidden/>
    <w:qFormat/>
    <w:uiPriority w:val="0"/>
  </w:style>
  <w:style w:type="table" w:default="1" w:styleId="10">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Calibri"/>
      <w:sz w:val="20"/>
      <w:szCs w:val="20"/>
    </w:rPr>
    <w:tblPr>
      <w:tblCellMar>
        <w:top w:w="0" w:type="dxa"/>
        <w:left w:w="108" w:type="dxa"/>
        <w:bottom w:w="0" w:type="dxa"/>
        <w:right w:w="108" w:type="dxa"/>
      </w:tblCellMar>
    </w:tblPr>
  </w:style>
  <w:style w:type="paragraph" w:styleId="3">
    <w:name w:val="Normal Indent"/>
    <w:basedOn w:val="1"/>
    <w:unhideWhenUsed/>
    <w:qFormat/>
    <w:uiPriority w:val="0"/>
    <w:pPr>
      <w:ind w:firstLine="420" w:firstLineChars="200"/>
    </w:pPr>
  </w:style>
  <w:style w:type="paragraph" w:styleId="4">
    <w:name w:val="Body Text"/>
    <w:basedOn w:val="1"/>
    <w:link w:val="17"/>
    <w:qFormat/>
    <w:uiPriority w:val="0"/>
    <w:pPr>
      <w:spacing w:after="120" w:afterLines="0" w:afterAutospacing="0"/>
    </w:pPr>
  </w:style>
  <w:style w:type="paragraph" w:styleId="5">
    <w:name w:val="Body Text Indent"/>
    <w:basedOn w:val="1"/>
    <w:qFormat/>
    <w:uiPriority w:val="0"/>
    <w:pPr>
      <w:spacing w:line="560" w:lineRule="exact"/>
      <w:ind w:firstLine="960" w:firstLineChars="300"/>
    </w:pPr>
    <w:rPr>
      <w:rFonts w:ascii="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Body Text First Indent 2"/>
    <w:basedOn w:val="5"/>
    <w:qFormat/>
    <w:uiPriority w:val="0"/>
    <w:pPr>
      <w:ind w:firstLine="420"/>
    </w:pPr>
  </w:style>
  <w:style w:type="character" w:styleId="12">
    <w:name w:val="Strong"/>
    <w:basedOn w:val="11"/>
    <w:qFormat/>
    <w:uiPriority w:val="0"/>
    <w:rPr>
      <w:b/>
    </w:rPr>
  </w:style>
  <w:style w:type="character" w:styleId="13">
    <w:name w:val="FollowedHyperlink"/>
    <w:basedOn w:val="11"/>
    <w:qFormat/>
    <w:uiPriority w:val="0"/>
    <w:rPr>
      <w:color w:val="771CAA"/>
      <w:u w:val="none"/>
    </w:rPr>
  </w:style>
  <w:style w:type="character" w:styleId="14">
    <w:name w:val="Emphasis"/>
    <w:basedOn w:val="11"/>
    <w:qFormat/>
    <w:uiPriority w:val="0"/>
    <w:rPr>
      <w:color w:val="F73131"/>
    </w:rPr>
  </w:style>
  <w:style w:type="character" w:styleId="15">
    <w:name w:val="Hyperlink"/>
    <w:basedOn w:val="11"/>
    <w:qFormat/>
    <w:uiPriority w:val="0"/>
    <w:rPr>
      <w:color w:val="2440B3"/>
      <w:u w:val="none"/>
    </w:rPr>
  </w:style>
  <w:style w:type="character" w:styleId="16">
    <w:name w:val="HTML Cite"/>
    <w:basedOn w:val="11"/>
    <w:qFormat/>
    <w:uiPriority w:val="0"/>
    <w:rPr>
      <w:color w:val="008000"/>
    </w:rPr>
  </w:style>
  <w:style w:type="character" w:customStyle="1" w:styleId="17">
    <w:name w:val="正文文本 字符"/>
    <w:basedOn w:val="11"/>
    <w:link w:val="4"/>
    <w:qFormat/>
    <w:uiPriority w:val="0"/>
    <w:rPr>
      <w:rFonts w:hint="default" w:ascii="Calibri" w:hAnsi="Calibri" w:eastAsia="宋体" w:cs="Times New Roman"/>
      <w:kern w:val="2"/>
      <w:sz w:val="21"/>
      <w:szCs w:val="24"/>
    </w:rPr>
  </w:style>
  <w:style w:type="character" w:customStyle="1" w:styleId="18">
    <w:name w:val="hover24"/>
    <w:basedOn w:val="11"/>
    <w:qFormat/>
    <w:uiPriority w:val="0"/>
  </w:style>
  <w:style w:type="character" w:customStyle="1" w:styleId="19">
    <w:name w:val="hover25"/>
    <w:basedOn w:val="11"/>
    <w:qFormat/>
    <w:uiPriority w:val="0"/>
    <w:rPr>
      <w:color w:val="315EFB"/>
    </w:rPr>
  </w:style>
  <w:style w:type="character" w:customStyle="1" w:styleId="20">
    <w:name w:val="c-icon28"/>
    <w:basedOn w:val="11"/>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53</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小六Pro</cp:lastModifiedBy>
  <cp:lastPrinted>2021-03-30T01:44:00Z</cp:lastPrinted>
  <dcterms:modified xsi:type="dcterms:W3CDTF">2023-10-16T07:49:40Z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89BBFD97D1054D90ABE8F67D803B329E</vt:lpwstr>
  </property>
</Properties>
</file>