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r>
        <w:rPr>
          <w:rFonts w:hint="eastAsia"/>
          <w:b/>
          <w:sz w:val="44"/>
          <w:szCs w:val="44"/>
        </w:rPr>
        <w:t>遂溪县市场监督管理局2019年度贯彻落实依法行政工作要点的情况报告</w:t>
      </w:r>
    </w:p>
    <w:p>
      <w:r>
        <w:t xml:space="preserve"> </w:t>
      </w:r>
    </w:p>
    <w:p>
      <w:pPr>
        <w:rPr>
          <w:rFonts w:ascii="仿宋" w:hAnsi="仿宋" w:eastAsia="仿宋"/>
          <w:sz w:val="32"/>
          <w:szCs w:val="32"/>
        </w:rPr>
      </w:pPr>
      <w:r>
        <w:rPr>
          <w:rFonts w:hint="eastAsia"/>
        </w:rPr>
        <w:t xml:space="preserve"> </w:t>
      </w:r>
      <w:r>
        <w:rPr>
          <w:rFonts w:hint="eastAsia" w:ascii="仿宋" w:hAnsi="仿宋" w:eastAsia="仿宋"/>
        </w:rPr>
        <w:t xml:space="preserve"> </w:t>
      </w:r>
      <w:r>
        <w:rPr>
          <w:rFonts w:hint="eastAsia" w:ascii="仿宋" w:hAnsi="仿宋" w:eastAsia="仿宋"/>
          <w:sz w:val="32"/>
          <w:szCs w:val="32"/>
        </w:rPr>
        <w:t xml:space="preserve">   2019年，遂溪县市场监督管理局在县委、县政府的领导下，认真贯彻党的十九大精神和习近平新时代中国特色社会主义思想，全面落实《法治遂溪建设第二个五年规划（2016-2020年》，围绕县委、县政府法治建设工作部署，以深化改革为抓手，落实商事制度改革各项改革举措，强化事中事后监管，规范行政执法行为，强化执法监督机制，全面推进依法行政进程，法治市监建设成效明显。</w:t>
      </w:r>
      <w:r>
        <w:rPr>
          <w:rFonts w:hint="eastAsia" w:ascii="仿宋_GB2312" w:hAnsi="仿宋_GB2312" w:eastAsia="仿宋_GB2312" w:cs="仿宋_GB2312"/>
          <w:sz w:val="32"/>
          <w:szCs w:val="32"/>
        </w:rPr>
        <w:t>2019年法治政府建设（依法行政）获优秀等次，总分位县直单位第一名；遂溪县首届国家机关“谁执法谁普法”优秀档次（总分全县第一名）；全县知识产权创造、保护运用获得100分，全市排名第一；质量竞争力及信息化发展绩效获得全市排名第二；食品安全指数合格率100％，全市排名并列第一，2019年湛江市食品安全满意度调查中遂溪满意度得分98.07分，为全市最高分数；企业年报工作位列全市排名第二；打假工作位列全市排名第二；遂溪县12345市民服务热线2019年度"优秀成员单位"；获2019年度综治和平安建设工作先进单位；创文第一、二、三、四季度均被评为创文工作优秀单位；在优化营商环境方面，湛江市市场监督管理局推广我局试行“并行办理并联审批”经验。</w:t>
      </w:r>
      <w:r>
        <w:rPr>
          <w:rFonts w:hint="eastAsia" w:ascii="仿宋" w:hAnsi="仿宋" w:eastAsia="仿宋"/>
          <w:sz w:val="32"/>
          <w:szCs w:val="32"/>
        </w:rPr>
        <w:t>现将遂溪县市场监督管理局贯彻落实遂溪县2019年依法行政工作要点情况报告如下：</w:t>
      </w:r>
    </w:p>
    <w:p>
      <w:pPr>
        <w:ind w:firstLine="643" w:firstLineChars="200"/>
        <w:rPr>
          <w:rFonts w:ascii="仿宋" w:hAnsi="仿宋" w:eastAsia="仿宋"/>
          <w:b/>
          <w:sz w:val="32"/>
          <w:szCs w:val="32"/>
        </w:rPr>
      </w:pPr>
      <w:r>
        <w:rPr>
          <w:rFonts w:hint="eastAsia" w:ascii="仿宋" w:hAnsi="仿宋" w:eastAsia="仿宋"/>
          <w:b/>
          <w:sz w:val="32"/>
          <w:szCs w:val="32"/>
        </w:rPr>
        <w:t>一、任务进展及成效</w:t>
      </w:r>
    </w:p>
    <w:p>
      <w:pPr>
        <w:ind w:firstLine="482" w:firstLineChars="150"/>
        <w:rPr>
          <w:rFonts w:ascii="仿宋" w:hAnsi="仿宋" w:eastAsia="仿宋"/>
          <w:b/>
          <w:sz w:val="32"/>
          <w:szCs w:val="32"/>
        </w:rPr>
      </w:pPr>
      <w:r>
        <w:rPr>
          <w:rFonts w:hint="eastAsia" w:ascii="仿宋" w:hAnsi="仿宋" w:eastAsia="仿宋"/>
          <w:b/>
          <w:sz w:val="32"/>
          <w:szCs w:val="32"/>
        </w:rPr>
        <w:t>（一）依法全面履行政府职能。</w:t>
      </w:r>
    </w:p>
    <w:p>
      <w:pPr>
        <w:spacing w:line="620" w:lineRule="exact"/>
        <w:ind w:firstLine="556"/>
        <w:outlineLvl w:val="2"/>
        <w:rPr>
          <w:rFonts w:ascii="仿宋_GB2312" w:eastAsia="仿宋_GB2312" w:hAnsiTheme="minorEastAsia"/>
          <w:sz w:val="32"/>
          <w:szCs w:val="32"/>
        </w:rPr>
      </w:pPr>
      <w:r>
        <w:rPr>
          <w:rFonts w:hint="eastAsia" w:ascii="仿宋" w:hAnsi="仿宋" w:eastAsia="仿宋"/>
          <w:b/>
          <w:sz w:val="32"/>
          <w:szCs w:val="32"/>
        </w:rPr>
        <w:t>1、落实“放管服”改革任务，助力经济社会发展，经济主体持续增长，产业结构不断优化。</w:t>
      </w:r>
      <w:r>
        <w:rPr>
          <w:rFonts w:hint="eastAsia" w:ascii="仿宋" w:hAnsi="仿宋" w:eastAsia="仿宋"/>
          <w:sz w:val="32"/>
          <w:szCs w:val="32"/>
        </w:rPr>
        <w:t>通过相关政策，改革措施的落实，助推“放管服”改革升级，全力打造一流营商环境，极大调动了社会大众创新创业创造的活力，我县经济主体存量明显增加。</w:t>
      </w:r>
      <w:r>
        <w:rPr>
          <w:rFonts w:hint="eastAsia" w:ascii="仿宋_GB2312" w:eastAsia="仿宋_GB2312" w:hAnsiTheme="minorEastAsia"/>
          <w:sz w:val="32"/>
          <w:szCs w:val="32"/>
        </w:rPr>
        <w:t>全县实有各类市场主体25798户，比去年同期增长11.41%,其中规上企业101户，规下企业4478户，农民专业合作社466户，个体工商户20776户。</w:t>
      </w:r>
    </w:p>
    <w:p>
      <w:pPr>
        <w:ind w:firstLine="643" w:firstLineChars="200"/>
        <w:rPr>
          <w:rFonts w:ascii="仿宋_GB2312" w:eastAsia="仿宋_GB2312" w:hAnsiTheme="minorEastAsia"/>
          <w:sz w:val="32"/>
          <w:szCs w:val="32"/>
        </w:rPr>
      </w:pPr>
      <w:r>
        <w:rPr>
          <w:rFonts w:hint="eastAsia" w:ascii="仿宋_GB2312" w:hAnsi="宋体" w:eastAsia="仿宋_GB2312" w:cs="Times New Roman"/>
          <w:b/>
          <w:sz w:val="32"/>
          <w:szCs w:val="32"/>
        </w:rPr>
        <w:t>2、全面推进商事制度改革深入开展。</w:t>
      </w:r>
      <w:r>
        <w:rPr>
          <w:rFonts w:hint="eastAsia" w:ascii="仿宋_GB2312" w:hAnsi="宋体" w:eastAsia="仿宋_GB2312" w:cs="Times New Roman"/>
          <w:sz w:val="32"/>
          <w:szCs w:val="32"/>
        </w:rPr>
        <w:t>优流程、缩时限、减资料、严把关，拓思路，提效率，最大程度降低设立企业的门槛和创业成本，有效激发社会创业创新活力。</w:t>
      </w:r>
      <w:r>
        <w:rPr>
          <w:rFonts w:hint="eastAsia" w:ascii="仿宋_GB2312" w:hAnsi="宋体" w:eastAsia="仿宋_GB2312" w:cs="Times New Roman"/>
          <w:b/>
          <w:sz w:val="32"/>
          <w:szCs w:val="32"/>
        </w:rPr>
        <w:t>一是</w:t>
      </w:r>
      <w:r>
        <w:rPr>
          <w:rFonts w:hint="eastAsia" w:ascii="仿宋_GB2312" w:hAnsi="宋体" w:eastAsia="仿宋_GB2312" w:cs="Times New Roman"/>
          <w:sz w:val="32"/>
          <w:szCs w:val="32"/>
        </w:rPr>
        <w:t>原工商业务的行政审批业务。实行“审核合一、一人通办”制度，同时严格执行企业登记限时办结制度。除需报省市监局和国家市监总局审核的名称预先核准业务外，其他名称预先核准业务承诺在1个工作日内办结；企业设立登记业务承诺在1个工作日内办结，其它业务承诺在2.5个工作日内办结。</w:t>
      </w:r>
      <w:r>
        <w:rPr>
          <w:rFonts w:hint="eastAsia" w:ascii="仿宋_GB2312" w:hAnsi="宋体" w:eastAsia="仿宋_GB2312" w:cs="Times New Roman"/>
          <w:b/>
          <w:sz w:val="32"/>
          <w:szCs w:val="32"/>
        </w:rPr>
        <w:t>二是</w:t>
      </w:r>
      <w:r>
        <w:rPr>
          <w:rFonts w:hint="eastAsia" w:ascii="仿宋_GB2312" w:hAnsi="宋体" w:eastAsia="仿宋_GB2312" w:cs="Times New Roman"/>
          <w:sz w:val="32"/>
          <w:szCs w:val="32"/>
        </w:rPr>
        <w:t>实现精、减、缩，提升审批服务质量。结合行政许可事项标准化工作，对行政许可事项所需的申请材料进行全面清理，最大限度精简申报材料，凡无法律法规依据原则上予以取消，可合并的一律合并。全面梳理并压缩审批时限，现审批事项办理时限均比法定事项压缩50%以上，其中小餐饮备案办理时限压缩为当场办理，</w:t>
      </w:r>
      <w:r>
        <w:rPr>
          <w:rFonts w:hint="eastAsia" w:ascii="仿宋_GB2312" w:eastAsia="仿宋_GB2312" w:hAnsiTheme="minorEastAsia"/>
          <w:sz w:val="32"/>
          <w:szCs w:val="32"/>
        </w:rPr>
        <w:t>2019年，共办理餐饮类食品经营许可事项345件，不予许可的为217家,小餐饮备案152件，办理市场流通类食品经营许可事项192件；受理广东省食品生产加工小作坊申请34家次，其中已核发新办17家，现场审核不予许可并劝退17家次。《药品经营许可证》许可、服务事项43件，医疗器械企业备案数15家。</w:t>
      </w:r>
      <w:r>
        <w:rPr>
          <w:rFonts w:hint="eastAsia" w:ascii="仿宋_GB2312" w:eastAsia="仿宋_GB2312" w:hAnsiTheme="minorEastAsia"/>
          <w:b/>
          <w:sz w:val="32"/>
          <w:szCs w:val="32"/>
        </w:rPr>
        <w:t>三是</w:t>
      </w:r>
      <w:r>
        <w:rPr>
          <w:rFonts w:hint="eastAsia" w:ascii="仿宋_GB2312" w:eastAsia="仿宋_GB2312" w:hAnsiTheme="minorEastAsia"/>
          <w:sz w:val="32"/>
          <w:szCs w:val="32"/>
        </w:rPr>
        <w:t>全面推广“一窗受理系统”，实现企业设立登记、刻制公章、申领发票、预约银行开户“一站式办理”。</w:t>
      </w:r>
      <w:r>
        <w:rPr>
          <w:rFonts w:hint="eastAsia" w:ascii="仿宋_GB2312" w:eastAsia="仿宋_GB2312" w:hAnsiTheme="minorEastAsia"/>
          <w:b/>
          <w:sz w:val="32"/>
          <w:szCs w:val="32"/>
        </w:rPr>
        <w:t>四是</w:t>
      </w:r>
      <w:r>
        <w:rPr>
          <w:rFonts w:hint="eastAsia" w:ascii="仿宋_GB2312" w:eastAsia="仿宋_GB2312" w:hAnsiTheme="minorEastAsia"/>
          <w:sz w:val="32"/>
          <w:szCs w:val="32"/>
        </w:rPr>
        <w:t>推进全程电子化登记，设立专门的自助服务区，提供电脑、扫描仪、打印机等硬件设备提升“零见面”办理率。截至2019年12月底，办理全程电子化业务共747 笔。五是探索实践“并行办理、并联审批”创新模式，坚持“对标先进”、“能减尽减”，打破原有审批</w:t>
      </w:r>
      <w:r>
        <w:rPr>
          <w:rFonts w:hint="eastAsia" w:ascii="仿宋_GB2312" w:hAnsi="宋体" w:eastAsia="仿宋_GB2312" w:cs="Times New Roman"/>
          <w:sz w:val="32"/>
          <w:szCs w:val="32"/>
        </w:rPr>
        <w:t>制度中繁琐、低效的“坚冰”，创新审批监管模式，以遂城市场监督管理所、城月市场监督管理所为试点，以点带面探索实施“证照联办”改革。</w:t>
      </w:r>
      <w:r>
        <w:rPr>
          <w:rFonts w:hint="eastAsia" w:ascii="仿宋_GB2312" w:eastAsia="仿宋_GB2312" w:hAnsiTheme="minorEastAsia"/>
          <w:sz w:val="32"/>
          <w:szCs w:val="32"/>
        </w:rPr>
        <w:t>截至12月底，总体发证数量比去年增长了84%，现全县有各类餐饮服务单位1892家，已取得食品经营许可证（含小餐饮备案）的餐饮服务单位为1097家。</w:t>
      </w:r>
    </w:p>
    <w:p>
      <w:pPr>
        <w:ind w:firstLine="643" w:firstLineChars="200"/>
        <w:rPr>
          <w:rFonts w:ascii="仿宋_GB2312" w:eastAsia="仿宋_GB2312" w:hAnsiTheme="minorEastAsia"/>
          <w:sz w:val="32"/>
          <w:szCs w:val="32"/>
        </w:rPr>
      </w:pPr>
      <w:r>
        <w:rPr>
          <w:rFonts w:hint="eastAsia" w:ascii="仿宋_GB2312" w:hAnsi="宋体" w:eastAsia="仿宋_GB2312" w:cs="Times New Roman"/>
          <w:b/>
          <w:sz w:val="32"/>
          <w:szCs w:val="32"/>
        </w:rPr>
        <w:t>3、推进信用监管，落实“双随机、一公开”</w:t>
      </w:r>
      <w:r>
        <w:rPr>
          <w:rFonts w:hint="eastAsia" w:ascii="仿宋_GB2312" w:hAnsi="宋体" w:eastAsia="仿宋_GB2312" w:cs="Times New Roman"/>
          <w:sz w:val="32"/>
          <w:szCs w:val="32"/>
        </w:rPr>
        <w:t>。</w:t>
      </w:r>
      <w:r>
        <w:rPr>
          <w:rFonts w:hint="eastAsia" w:ascii="仿宋_GB2312" w:hAnsi="宋体" w:eastAsia="仿宋_GB2312" w:cs="Times New Roman"/>
          <w:b/>
          <w:sz w:val="32"/>
          <w:szCs w:val="32"/>
        </w:rPr>
        <w:t>一是信用监管加大力度。</w:t>
      </w:r>
      <w:r>
        <w:rPr>
          <w:rFonts w:hint="eastAsia" w:ascii="仿宋_GB2312" w:hAnsi="宋体" w:eastAsia="仿宋_GB2312" w:cs="Times New Roman"/>
          <w:sz w:val="32"/>
          <w:szCs w:val="32"/>
        </w:rPr>
        <w:t>严格落实企业信息公示、经营异常名录、严重违法企业名单等制度，强化信息公示、信息共享、信用约束。</w:t>
      </w:r>
      <w:r>
        <w:rPr>
          <w:rFonts w:ascii="仿宋_GB2312" w:hAnsi="宋体" w:eastAsia="仿宋_GB2312" w:cs="Times New Roman"/>
          <w:sz w:val="32"/>
          <w:szCs w:val="32"/>
        </w:rPr>
        <w:t>2019年列入经营异常名录的企业199户，列入严重违法失信企业名录163户企业，</w:t>
      </w:r>
      <w:r>
        <w:rPr>
          <w:rFonts w:hint="eastAsia" w:ascii="仿宋_GB2312" w:hAnsi="宋体" w:eastAsia="仿宋_GB2312" w:cs="Times New Roman"/>
          <w:sz w:val="32"/>
          <w:szCs w:val="32"/>
        </w:rPr>
        <w:t>初步构建了“一处违法、处处受限”的联合惩戒机制和信用监管格局。</w:t>
      </w:r>
      <w:r>
        <w:rPr>
          <w:rFonts w:hint="eastAsia" w:ascii="仿宋_GB2312" w:hAnsi="宋体" w:eastAsia="仿宋_GB2312" w:cs="Times New Roman"/>
          <w:b/>
          <w:sz w:val="32"/>
          <w:szCs w:val="32"/>
        </w:rPr>
        <w:t>二是积极开展</w:t>
      </w:r>
      <w:bookmarkStart w:id="0" w:name="_GoBack"/>
      <w:bookmarkEnd w:id="0"/>
      <w:r>
        <w:rPr>
          <w:rFonts w:hint="eastAsia" w:ascii="仿宋_GB2312" w:hAnsi="宋体" w:eastAsia="仿宋_GB2312" w:cs="Times New Roman"/>
          <w:b/>
          <w:sz w:val="32"/>
          <w:szCs w:val="32"/>
          <w:lang w:eastAsia="zh-CN"/>
        </w:rPr>
        <w:t>“双随机、一公开</w:t>
      </w:r>
      <w:r>
        <w:rPr>
          <w:rFonts w:hint="eastAsia" w:ascii="仿宋_GB2312" w:hAnsi="宋体" w:eastAsia="仿宋_GB2312" w:cs="Times New Roman"/>
          <w:b/>
          <w:sz w:val="32"/>
          <w:szCs w:val="32"/>
        </w:rPr>
        <w:t>工作。</w:t>
      </w:r>
      <w:r>
        <w:rPr>
          <w:rFonts w:hint="eastAsia" w:ascii="仿宋_GB2312" w:eastAsia="仿宋_GB2312" w:hAnsiTheme="minorEastAsia"/>
          <w:sz w:val="32"/>
          <w:szCs w:val="32"/>
        </w:rPr>
        <w:t>实施5批次双随机抽查任务，跨部门联合抽查1次，共检查了263户企业，901户个体户，目前检查完成率100%。</w:t>
      </w:r>
    </w:p>
    <w:p>
      <w:pPr>
        <w:spacing w:line="620" w:lineRule="exact"/>
        <w:ind w:firstLine="643" w:firstLineChars="200"/>
        <w:outlineLvl w:val="2"/>
        <w:rPr>
          <w:rFonts w:ascii="仿宋_GB2312" w:eastAsia="仿宋_GB2312" w:hAnsiTheme="minorEastAsia"/>
          <w:sz w:val="32"/>
          <w:szCs w:val="32"/>
        </w:rPr>
      </w:pPr>
      <w:r>
        <w:rPr>
          <w:rFonts w:hint="eastAsia" w:ascii="仿宋_GB2312" w:hAnsi="宋体" w:eastAsia="仿宋_GB2312" w:cs="Times New Roman"/>
          <w:b/>
          <w:sz w:val="32"/>
          <w:szCs w:val="32"/>
        </w:rPr>
        <w:t>4、优化暖企扶企服务。</w:t>
      </w:r>
      <w:r>
        <w:rPr>
          <w:rFonts w:hint="eastAsia" w:ascii="仿宋_GB2312" w:eastAsia="仿宋_GB2312" w:hAnsiTheme="minorEastAsia"/>
          <w:b/>
          <w:sz w:val="32"/>
          <w:szCs w:val="32"/>
        </w:rPr>
        <w:t>一是启动“即时服务、延时服务、容缺服务”</w:t>
      </w:r>
      <w:r>
        <w:rPr>
          <w:rFonts w:hint="eastAsia" w:ascii="仿宋_GB2312" w:eastAsia="仿宋_GB2312" w:hAnsiTheme="minorEastAsia"/>
          <w:sz w:val="32"/>
          <w:szCs w:val="32"/>
        </w:rPr>
        <w:t>共有966笔，得到县政府及县行政服务中心的肯定，得到县招商引资重大项目天地壹号饮料（湛江）有限公司、遂溪县农村商业银行股份有限公司等企业主体的认可或锦旗。</w:t>
      </w:r>
      <w:r>
        <w:rPr>
          <w:rFonts w:hint="eastAsia" w:ascii="仿宋_GB2312" w:eastAsia="仿宋_GB2312" w:hAnsiTheme="minorEastAsia"/>
          <w:b/>
          <w:sz w:val="32"/>
          <w:szCs w:val="32"/>
        </w:rPr>
        <w:t>二是助推个体经济转型升级，</w:t>
      </w:r>
      <w:r>
        <w:rPr>
          <w:rFonts w:hint="eastAsia" w:ascii="仿宋_GB2312" w:eastAsia="仿宋_GB2312" w:hAnsiTheme="minorEastAsia"/>
          <w:sz w:val="32"/>
          <w:szCs w:val="32"/>
        </w:rPr>
        <w:t>建立“个转企”重点企业培育库，设立专窗开辟“绿色通道”，实行“三优先”的一站式准入服务。历年累计全县个体户升级企业923户，其中2019年升级191户</w:t>
      </w:r>
      <w:r>
        <w:rPr>
          <w:rFonts w:hint="eastAsia" w:ascii="仿宋_GB2312" w:eastAsia="仿宋_GB2312" w:hAnsiTheme="minorEastAsia"/>
          <w:b/>
          <w:sz w:val="32"/>
          <w:szCs w:val="32"/>
        </w:rPr>
        <w:t>，三是拓宽企业融资渠道，</w:t>
      </w:r>
      <w:r>
        <w:rPr>
          <w:rFonts w:hint="eastAsia" w:ascii="仿宋_GB2312" w:eastAsia="仿宋_GB2312" w:hAnsiTheme="minorEastAsia"/>
          <w:sz w:val="32"/>
          <w:szCs w:val="32"/>
        </w:rPr>
        <w:t>办理股权出质业务29笔；办理动产抵押登记9例，为企业融资16848.82万元，及时解决企业扩大再生产融资难的燃眉之急。</w:t>
      </w:r>
    </w:p>
    <w:p>
      <w:pPr>
        <w:ind w:firstLine="643" w:firstLineChars="200"/>
        <w:rPr>
          <w:rFonts w:ascii="仿宋_GB2312" w:hAnsi="宋体" w:eastAsia="仿宋_GB2312" w:cs="Times New Roman"/>
          <w:sz w:val="32"/>
          <w:szCs w:val="32"/>
        </w:rPr>
      </w:pPr>
      <w:r>
        <w:rPr>
          <w:rFonts w:hint="eastAsia" w:ascii="仿宋_GB2312" w:eastAsia="仿宋_GB2312" w:hAnsiTheme="minorEastAsia"/>
          <w:b/>
          <w:sz w:val="32"/>
          <w:szCs w:val="32"/>
        </w:rPr>
        <w:t>5、实施权责清单负面清单制度和推进政务服务事项标准化、规范化建设</w:t>
      </w:r>
      <w:r>
        <w:rPr>
          <w:rFonts w:hint="eastAsia" w:ascii="仿宋_GB2312" w:hAnsi="宋体" w:eastAsia="仿宋_GB2312" w:cs="Times New Roman"/>
          <w:b/>
          <w:sz w:val="32"/>
          <w:szCs w:val="32"/>
        </w:rPr>
        <w:t>。</w:t>
      </w:r>
      <w:r>
        <w:rPr>
          <w:rFonts w:hint="eastAsia" w:ascii="仿宋_GB2312" w:hAnsi="宋体" w:eastAsia="仿宋_GB2312" w:cs="Times New Roman"/>
          <w:sz w:val="32"/>
          <w:szCs w:val="32"/>
        </w:rPr>
        <w:t>持续做好本部门的全部权责清单、公共服务事项清单编制和公布工作，逐一明确法律依据、实施主体、监督方式、责任方式等相关事项。划转原工商、原质监、原食药、知识产权、价格监督等事项组成新的市场监督管理局权责清单共1520条，并根据法律法规和实际工作情况的变化实行动态调整。进一步建立健全行政权力事项县级通用目录，深化实现同一事项名称、编码、依据、类型等基本要素在省、市、县、三级统一按照全省政务服务事项实施清单“十统一”标准化梳理工作部署，深化编制县行政权力事项和公共服务事项实施清单，完善事项受理条件、申请材料、中介服务、办理流程等信息要素。</w:t>
      </w:r>
    </w:p>
    <w:p>
      <w:pPr>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（二）完善依法行政制度体系，防范执法风险。</w:t>
      </w:r>
    </w:p>
    <w:p>
      <w:pPr>
        <w:rPr>
          <w:rFonts w:ascii="仿宋_GB2312" w:hAnsi="宋体" w:eastAsia="仿宋_GB2312" w:cs="Times New Roman"/>
          <w:sz w:val="32"/>
          <w:szCs w:val="32"/>
        </w:rPr>
      </w:pPr>
      <w:r>
        <w:rPr>
          <w:rFonts w:hint="eastAsia" w:ascii="仿宋_GB2312" w:hAnsi="宋体" w:eastAsia="仿宋_GB2312" w:cs="Times New Roman"/>
          <w:sz w:val="32"/>
          <w:szCs w:val="32"/>
        </w:rPr>
        <w:t xml:space="preserve">    我局严格落实对规范性文件统一登记、统一编号、统一印发的工作要求，加强规范性文件管理，建立长效机制。坚持完善规范性文件制定程序，落实合法性审查、集体讨论决定等制度，确保规范性文件合法、有效。按照县法制局关于规范性文件清理工作有关事项的通知要求，对我局近几年以来制定印发的相关文件进行清理，没有发现有制发有规范性文件。二是制定了《遂溪县市场监督管理局制发规范性文件管理制度》，进一步规范我局规范性文件的制定、审查、备案以及清理工作，加强对规范性文件的合法性监督，保证依法行政，防范执法风险。</w:t>
      </w:r>
    </w:p>
    <w:p>
      <w:pPr>
        <w:ind w:firstLine="643" w:firstLineChars="200"/>
        <w:rPr>
          <w:rFonts w:ascii="仿宋_GB2312" w:hAnsi="宋体" w:eastAsia="仿宋_GB2312" w:cs="Times New Roman"/>
          <w:b/>
          <w:sz w:val="32"/>
          <w:szCs w:val="32"/>
        </w:rPr>
      </w:pPr>
      <w:r>
        <w:rPr>
          <w:rFonts w:hint="eastAsia" w:ascii="仿宋_GB2312" w:hAnsi="宋体" w:eastAsia="仿宋_GB2312" w:cs="Times New Roman"/>
          <w:b/>
          <w:sz w:val="32"/>
          <w:szCs w:val="32"/>
        </w:rPr>
        <w:t>（三）推进行政决策科学化、民主化、法治化</w:t>
      </w:r>
    </w:p>
    <w:p>
      <w:pPr>
        <w:ind w:firstLine="645"/>
        <w:rPr>
          <w:rFonts w:ascii="仿宋_GB2312" w:hAnsi="宋体" w:eastAsia="仿宋_GB2312" w:cs="Times New Roman"/>
          <w:sz w:val="32"/>
          <w:szCs w:val="32"/>
        </w:rPr>
      </w:pPr>
      <w:r>
        <w:rPr>
          <w:rFonts w:hint="eastAsia" w:ascii="仿宋_GB2312" w:hAnsi="宋体" w:eastAsia="仿宋_GB2312" w:cs="Times New Roman"/>
          <w:sz w:val="32"/>
          <w:szCs w:val="32"/>
        </w:rPr>
        <w:t>我局严格执行《广东省重大行政决策听证规定》，并根据实际，制定《遂溪县市场监督管理局重大行政决策集体决定程序规定》。贯彻推行重大决策民主合议制、决策结果公示制和落实情况定期通报制，凡重大问题坚持集体讨论决定，做到决策前充分论证、认真酝酿；决策中，广泛发表意见，主职末位表态；形成决策后，公示决策结果，定期通报落实情况，确保各项决策合法合理。</w:t>
      </w:r>
    </w:p>
    <w:p>
      <w:pPr>
        <w:ind w:firstLine="482" w:firstLineChars="150"/>
        <w:rPr>
          <w:rFonts w:ascii="仿宋_GB2312" w:hAnsi="宋体" w:eastAsia="仿宋_GB2312" w:cs="Times New Roman"/>
          <w:b/>
          <w:sz w:val="32"/>
          <w:szCs w:val="32"/>
        </w:rPr>
      </w:pPr>
      <w:r>
        <w:rPr>
          <w:rFonts w:hint="eastAsia" w:ascii="仿宋_GB2312" w:hAnsi="宋体" w:eastAsia="仿宋_GB2312" w:cs="Times New Roman"/>
          <w:b/>
          <w:sz w:val="32"/>
          <w:szCs w:val="32"/>
        </w:rPr>
        <w:t>（四）坚持严格规范公正文明执法</w:t>
      </w:r>
    </w:p>
    <w:p>
      <w:pPr>
        <w:rPr>
          <w:rFonts w:ascii="仿宋_GB2312" w:hAnsi="宋体" w:eastAsia="仿宋_GB2312" w:cs="Times New Roman"/>
          <w:sz w:val="32"/>
          <w:szCs w:val="32"/>
        </w:rPr>
      </w:pPr>
      <w:r>
        <w:rPr>
          <w:rFonts w:hint="eastAsia" w:ascii="仿宋_GB2312" w:hAnsi="宋体" w:eastAsia="仿宋_GB2312" w:cs="Times New Roman"/>
          <w:sz w:val="32"/>
          <w:szCs w:val="32"/>
        </w:rPr>
        <w:t xml:space="preserve">   </w:t>
      </w:r>
      <w:r>
        <w:rPr>
          <w:rFonts w:hint="eastAsia" w:ascii="仿宋_GB2312" w:hAnsi="宋体" w:eastAsia="仿宋_GB2312" w:cs="Times New Roman"/>
          <w:b/>
          <w:sz w:val="32"/>
          <w:szCs w:val="32"/>
        </w:rPr>
        <w:t xml:space="preserve"> 1.推进行政执法体制改革。</w:t>
      </w:r>
      <w:r>
        <w:rPr>
          <w:rFonts w:hint="eastAsia" w:ascii="仿宋_GB2312" w:hAnsi="宋体" w:eastAsia="仿宋_GB2312" w:cs="Times New Roman"/>
          <w:sz w:val="32"/>
          <w:szCs w:val="32"/>
        </w:rPr>
        <w:t>一是继续推进“一支队伍办案”， 机构整合后，成立以执法三个大队为主体，各市管所密切配合的办案机制后，合理划分办案区域和执法权限，坚持属地为主原则，推动执法重心下移。推动执法资源和执法力量的科学整合，着力解决行政处罚权责不清，职能交叉，执法不到位，执法越位等问题，从源头上解决了多头执法、执法扰民问题。二是完善行政执法与刑事司法衔接机制，制定了《遂溪县市场监督管理局“两法衔接”工作规范》，及时在“两法衔接”工作平台录入案件，严格规范涉嫌犯罪案件移送工作，积极加强与司法机关的沟通和协作，建立信息共享、沟通便捷、防范有力、查处及时的打击经济违法和经济犯罪的协作机制。</w:t>
      </w:r>
    </w:p>
    <w:p>
      <w:pPr>
        <w:ind w:firstLine="803" w:firstLineChars="250"/>
        <w:rPr>
          <w:rFonts w:ascii="仿宋_GB2312" w:hAnsi="宋体" w:eastAsia="仿宋_GB2312" w:cs="Times New Roman"/>
          <w:sz w:val="32"/>
          <w:szCs w:val="32"/>
        </w:rPr>
      </w:pPr>
      <w:r>
        <w:rPr>
          <w:rFonts w:hint="eastAsia" w:ascii="仿宋_GB2312" w:hAnsi="宋体" w:eastAsia="仿宋_GB2312" w:cs="Times New Roman"/>
          <w:b/>
          <w:sz w:val="32"/>
          <w:szCs w:val="32"/>
        </w:rPr>
        <w:t>2.规范行政执法程序。</w:t>
      </w:r>
      <w:r>
        <w:rPr>
          <w:rFonts w:hint="eastAsia" w:ascii="仿宋_GB2312" w:hAnsi="宋体" w:eastAsia="仿宋_GB2312" w:cs="Times New Roman"/>
          <w:sz w:val="32"/>
          <w:szCs w:val="32"/>
        </w:rPr>
        <w:t>我局先后组织执法人员分批学习了《市场监督管理行政处罚程序暂行规定》，制定了一系列行政执法规定，明确了行政执法具体操作流程，制定并</w:t>
      </w:r>
      <w:r>
        <w:rPr>
          <w:rFonts w:ascii="仿宋_GB2312" w:hAnsi="宋体" w:eastAsia="仿宋_GB2312" w:cs="Times New Roman"/>
          <w:sz w:val="32"/>
          <w:szCs w:val="32"/>
        </w:rPr>
        <w:t>严格落实行政执法公示制度、执法全过程记录制度、重大执法决定法制审核制度等“三项制度”。</w:t>
      </w:r>
      <w:r>
        <w:rPr>
          <w:rFonts w:hint="eastAsia" w:ascii="仿宋_GB2312" w:hAnsi="宋体" w:eastAsia="仿宋_GB2312" w:cs="Times New Roman"/>
          <w:sz w:val="32"/>
          <w:szCs w:val="32"/>
        </w:rPr>
        <w:t>同时，加强对各执法部门的相关行政执法行为开展执法监督和参加市局组织的案卷评查工作，对存在问题的行为，及时发出执法监督建议书，强化了对基层执法的指导职能，落实了监督责任。</w:t>
      </w:r>
    </w:p>
    <w:p>
      <w:pPr>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3.创新行政执法方式</w:t>
      </w:r>
      <w:r>
        <w:rPr>
          <w:rFonts w:hint="eastAsia" w:ascii="仿宋_GB2312" w:hAnsi="宋体" w:eastAsia="仿宋_GB2312" w:cs="Times New Roman"/>
          <w:sz w:val="32"/>
          <w:szCs w:val="32"/>
        </w:rPr>
        <w:t>。按照“谁履职，谁公示”的原则，对行政执法信息实施动态管理，保证行政执法公示及时准确。依托国家企业信用信息公示系统（广东）和广东省行政执法公示平台，根据企业信息公示制度及相关要求，将辖区范围内市场主体的注册登记、备案、行政处罚、抽查结果、经营异常状态等信息向社会公示。2019年，共在广东省行政执法信息公示平台公示相关行政执法信息共6080条。</w:t>
      </w:r>
    </w:p>
    <w:p>
      <w:pPr>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4.全面落实行政执法责任制。</w:t>
      </w:r>
      <w:r>
        <w:rPr>
          <w:rFonts w:hint="eastAsia" w:ascii="仿宋_GB2312" w:hAnsi="宋体" w:eastAsia="仿宋_GB2312" w:cs="Times New Roman"/>
          <w:sz w:val="32"/>
          <w:szCs w:val="32"/>
        </w:rPr>
        <w:t xml:space="preserve">一是按照“以事定岗、依法定责、岗位制约、权责相当”的原则，每个执法岗位均按照设定岗位职责的工作职责、工作要求和工作范围。二是严格按照“三定”方案的相关规定，把市场监督管理机关实施的法律、执法责任、范围、内容分解到各执法机构和执法人员，落实到岗位，确保行政执法责任制落到实处。  </w:t>
      </w:r>
    </w:p>
    <w:p>
      <w:pPr>
        <w:ind w:firstLine="803" w:firstLineChars="250"/>
        <w:rPr>
          <w:rFonts w:ascii="仿宋_GB2312" w:hAnsi="宋体" w:eastAsia="仿宋_GB2312" w:cs="Times New Roman"/>
          <w:sz w:val="32"/>
          <w:szCs w:val="32"/>
        </w:rPr>
      </w:pPr>
      <w:r>
        <w:rPr>
          <w:rFonts w:hint="eastAsia" w:ascii="仿宋_GB2312" w:hAnsi="宋体" w:eastAsia="仿宋_GB2312" w:cs="Times New Roman"/>
          <w:b/>
          <w:sz w:val="32"/>
          <w:szCs w:val="32"/>
        </w:rPr>
        <w:t>5.严格落实行政执法人员管理制度</w:t>
      </w:r>
      <w:r>
        <w:rPr>
          <w:rFonts w:hint="eastAsia" w:ascii="仿宋_GB2312" w:hAnsi="宋体" w:eastAsia="仿宋_GB2312" w:cs="Times New Roman"/>
          <w:sz w:val="32"/>
          <w:szCs w:val="32"/>
        </w:rPr>
        <w:t>。</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重视执法人员行政执法水平的提升及执法资格的认证，认真落实行政执法人员持证上岗和资格管理等各项制度，未经执法资格考试合格，不得授予执法资格，不得从事执法活动，确保执法人员持证率100%。2019年，根据市、县法制局关于执法证资格管理相关工作要求，组织了执法证已到期的同志及时参加湛江市司法局组织的执法证资格考试</w:t>
      </w:r>
    </w:p>
    <w:p>
      <w:pPr>
        <w:ind w:firstLine="482" w:firstLineChars="150"/>
        <w:rPr>
          <w:rFonts w:ascii="仿宋_GB2312" w:hAnsi="宋体" w:eastAsia="仿宋_GB2312" w:cs="Times New Roman"/>
          <w:b/>
          <w:sz w:val="32"/>
          <w:szCs w:val="32"/>
        </w:rPr>
      </w:pPr>
      <w:r>
        <w:rPr>
          <w:rFonts w:hint="eastAsia" w:ascii="仿宋_GB2312" w:hAnsi="宋体" w:eastAsia="仿宋_GB2312" w:cs="Times New Roman"/>
          <w:b/>
          <w:sz w:val="32"/>
          <w:szCs w:val="32"/>
        </w:rPr>
        <w:t>（五）全面推进政务公开，强化对行政权力的制约和监督。</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全面推进以“决策公开、执行公开、管理公开、服务公开、结果公开”为内容的“五公开”，着重开展行政机关权责清单、行政执法结果信息以及人大政协建议提案办理情况的主动公开。自觉接受党内监督、人大监督、民主监督、司法监督。扎实做好人大代表建议、政协委员提案办理工作。2019年，我局共会办县人大代表建议4件，会办县政协提案7件，承办的所有建议和提案均按时按质办理。</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完善社会监督和舆论监督机制。建立健全违法行政行为投诉举报登记制度，向社会公布投诉举报电话、通讯地址及电子邮箱，通畅举报箱、电子邮箱、热线电话等监督渠道，建立健全统一政务咨询投诉举报平台，整合各部门非紧急类政务热线，纳入统一政务咨询投诉举报平台管理。对新闻媒体曝光的违法行政问题依法及时作出处理并进行反馈</w:t>
      </w:r>
    </w:p>
    <w:p>
      <w:pPr>
        <w:widowControl/>
        <w:spacing w:line="600" w:lineRule="atLeast"/>
        <w:ind w:firstLine="472" w:firstLineChars="147"/>
        <w:jc w:val="left"/>
        <w:rPr>
          <w:rFonts w:ascii="Times New Roman" w:hAnsi="楷体_GB2312" w:eastAsia="楷体_GB2312" w:cs="宋体"/>
          <w:b/>
          <w:color w:val="000000"/>
          <w:kern w:val="0"/>
          <w:sz w:val="32"/>
          <w:szCs w:val="32"/>
        </w:rPr>
      </w:pPr>
      <w:r>
        <w:rPr>
          <w:rFonts w:hint="eastAsia" w:ascii="Times New Roman" w:hAnsi="楷体_GB2312" w:eastAsia="楷体_GB2312" w:cs="宋体"/>
          <w:b/>
          <w:color w:val="000000"/>
          <w:kern w:val="0"/>
          <w:sz w:val="32"/>
          <w:szCs w:val="32"/>
        </w:rPr>
        <w:t>（六）依法有效化解社会矛盾纠纷</w:t>
      </w:r>
    </w:p>
    <w:p>
      <w:pPr>
        <w:ind w:firstLine="643" w:firstLineChars="200"/>
        <w:rPr>
          <w:rFonts w:ascii="仿宋_GB2312" w:hAnsi="宋体" w:eastAsia="仿宋_GB2312" w:cs="Times New Roman"/>
          <w:sz w:val="32"/>
          <w:szCs w:val="32"/>
        </w:rPr>
      </w:pPr>
      <w:r>
        <w:rPr>
          <w:rFonts w:hint="eastAsia" w:ascii="仿宋_GB2312" w:hAnsi="宋体" w:eastAsia="仿宋_GB2312" w:cs="Times New Roman"/>
          <w:b/>
          <w:sz w:val="32"/>
          <w:szCs w:val="32"/>
        </w:rPr>
        <w:t>1、创新调解工作机制，</w:t>
      </w:r>
      <w:r>
        <w:rPr>
          <w:rFonts w:hint="eastAsia" w:ascii="仿宋_GB2312" w:hAnsi="宋体" w:eastAsia="仿宋_GB2312" w:cs="Times New Roman"/>
          <w:sz w:val="32"/>
          <w:szCs w:val="32"/>
        </w:rPr>
        <w:t>围绕民生消费热点，加大稽查执法力度，严厉打击食品、药品、特种设备、质量安全等重点领域违法行为，公平竞争审查、反不正当竞争、整治虚假广告，价格监管和打击传销、打击假冒伪劣产品、查处无照无证经营、扫黑除恶、消费维权等工作呈高压态势，严字当头，严格执法。把日常巡查、专项整治、隐患排查治理、督促落实安全主体责任等工作贯穿到位；突出重要时段、重要区域、重要环节和重要品种安全检查到位；确保风险防范预警和事中事后监管到位，推动市场竞争秩序持续向好，为县域经济发展保驾护航。集中查办了一批涉及群众切身利益、社会影响大的案件，</w:t>
      </w:r>
      <w:r>
        <w:rPr>
          <w:rFonts w:ascii="仿宋_GB2312" w:hAnsi="宋体" w:eastAsia="仿宋_GB2312" w:cs="Times New Roman"/>
          <w:sz w:val="32"/>
          <w:szCs w:val="32"/>
        </w:rPr>
        <w:t>在遂溪港门镇协助查获特大假冒“LV”品牌名包案作为典型案件获得市打假办表扬。</w:t>
      </w:r>
      <w:r>
        <w:rPr>
          <w:rFonts w:hint="eastAsia" w:ascii="仿宋_GB2312" w:hAnsi="宋体" w:eastAsia="仿宋_GB2312" w:cs="Times New Roman"/>
          <w:sz w:val="32"/>
          <w:szCs w:val="32"/>
        </w:rPr>
        <w:t>2019年共立案办结案件733宗，罚没款共394多万元，共登记受理各类消费诉求322件，为消费者挽回经济损失187万元。</w:t>
      </w:r>
    </w:p>
    <w:p>
      <w:pPr>
        <w:widowControl/>
        <w:spacing w:line="600" w:lineRule="atLeast"/>
        <w:ind w:firstLine="630" w:firstLineChars="196"/>
        <w:jc w:val="left"/>
        <w:rPr>
          <w:rFonts w:ascii="宋体" w:hAnsi="宋体" w:eastAsia="宋体" w:cs="宋体"/>
          <w:color w:val="000000"/>
          <w:kern w:val="0"/>
          <w:sz w:val="32"/>
          <w:szCs w:val="32"/>
        </w:rPr>
      </w:pPr>
      <w:r>
        <w:rPr>
          <w:rFonts w:hint="eastAsia" w:ascii="仿宋_GB2312" w:hAnsi="宋体" w:eastAsia="仿宋_GB2312" w:cs="宋体"/>
          <w:b/>
          <w:bCs/>
          <w:color w:val="000000"/>
          <w:kern w:val="0"/>
          <w:sz w:val="32"/>
          <w:szCs w:val="32"/>
        </w:rPr>
        <w:t>2.加强行政复议工作。</w:t>
      </w:r>
      <w:r>
        <w:rPr>
          <w:rFonts w:hint="eastAsia" w:ascii="Times New Roman" w:hAnsi="宋体" w:eastAsia="仿宋_GB2312" w:cs="宋体"/>
          <w:b/>
          <w:bCs/>
          <w:color w:val="000000"/>
          <w:kern w:val="0"/>
          <w:sz w:val="32"/>
          <w:szCs w:val="32"/>
        </w:rPr>
        <w:t>一是</w:t>
      </w:r>
      <w:r>
        <w:rPr>
          <w:rFonts w:hint="eastAsia" w:ascii="仿宋_GB2312" w:hAnsi="宋体" w:eastAsia="仿宋_GB2312" w:cs="宋体"/>
          <w:color w:val="000000"/>
          <w:kern w:val="0"/>
          <w:sz w:val="32"/>
          <w:szCs w:val="32"/>
        </w:rPr>
        <w:t>围绕“严格执法，复议为民，努力解决行政争议，促进社会和谐”这一主线，有效畅通行政复议渠道，切实解决行政复议“告状难”的问题，保障行政相对人的复议申请权，提高行政复议效率。</w:t>
      </w:r>
      <w:r>
        <w:rPr>
          <w:rFonts w:hint="eastAsia" w:ascii="仿宋_GB2312" w:hAnsi="宋体" w:eastAsia="仿宋_GB2312" w:cs="宋体"/>
          <w:b/>
          <w:color w:val="000000"/>
          <w:kern w:val="0"/>
          <w:sz w:val="32"/>
          <w:szCs w:val="32"/>
        </w:rPr>
        <w:t>二是</w:t>
      </w:r>
      <w:r>
        <w:rPr>
          <w:rFonts w:hint="eastAsia" w:ascii="仿宋_GB2312" w:hAnsi="宋体" w:eastAsia="仿宋_GB2312" w:cs="宋体"/>
          <w:color w:val="000000"/>
          <w:kern w:val="0"/>
          <w:sz w:val="32"/>
          <w:szCs w:val="32"/>
        </w:rPr>
        <w:t>加强与县法制局、开发区人民法院和市局的沟通协调，严格按照《行政复议法》的规定，认真做好行政复议的回复、应诉工作，自觉执行复议机关的复议决定。2019年，我局共及时答复行政复议案件2宗 。</w:t>
      </w:r>
    </w:p>
    <w:p>
      <w:pPr>
        <w:widowControl/>
        <w:spacing w:line="600" w:lineRule="atLeast"/>
        <w:ind w:firstLine="630" w:firstLineChars="196"/>
        <w:jc w:val="left"/>
        <w:rPr>
          <w:rFonts w:ascii="宋体" w:hAnsi="宋体" w:eastAsia="宋体" w:cs="宋体"/>
          <w:color w:val="000000"/>
          <w:kern w:val="0"/>
          <w:sz w:val="32"/>
          <w:szCs w:val="32"/>
        </w:rPr>
      </w:pPr>
      <w:r>
        <w:rPr>
          <w:rFonts w:hint="eastAsia" w:ascii="仿宋_GB2312" w:hAnsi="宋体" w:eastAsia="仿宋_GB2312" w:cs="宋体"/>
          <w:b/>
          <w:bCs/>
          <w:color w:val="000000"/>
          <w:kern w:val="0"/>
          <w:sz w:val="32"/>
          <w:szCs w:val="32"/>
        </w:rPr>
        <w:t>3.完善信访工作制度。</w:t>
      </w:r>
      <w:r>
        <w:rPr>
          <w:rFonts w:hint="eastAsia" w:ascii="仿宋_GB2312" w:hAnsi="宋体" w:eastAsia="仿宋_GB2312" w:cs="宋体"/>
          <w:color w:val="000000"/>
          <w:kern w:val="0"/>
          <w:sz w:val="32"/>
          <w:szCs w:val="32"/>
        </w:rPr>
        <w:t>坚持以“阳光信访、责任信访、法治信访”为目标，科学分类来信来访事项，厘清信访边界，积极引导群众通过法定途径反映诉求。2019年我局办理群众信访事项9宗，均依法妥善处理。</w:t>
      </w:r>
    </w:p>
    <w:p>
      <w:pPr>
        <w:widowControl/>
        <w:spacing w:line="600" w:lineRule="atLeast"/>
        <w:ind w:firstLine="472" w:firstLineChars="147"/>
        <w:jc w:val="left"/>
        <w:rPr>
          <w:rFonts w:ascii="宋体" w:hAnsi="宋体" w:eastAsia="宋体" w:cs="宋体"/>
          <w:color w:val="000000"/>
          <w:kern w:val="0"/>
          <w:sz w:val="32"/>
          <w:szCs w:val="32"/>
        </w:rPr>
      </w:pPr>
      <w:r>
        <w:rPr>
          <w:rFonts w:hint="eastAsia" w:ascii="Times New Roman" w:hAnsi="楷体_GB2312" w:eastAsia="楷体_GB2312" w:cs="宋体"/>
          <w:b/>
          <w:color w:val="000000"/>
          <w:kern w:val="0"/>
          <w:sz w:val="32"/>
          <w:szCs w:val="32"/>
        </w:rPr>
        <w:t>（七）全面提高执法人员法治思维和依法行政能力</w:t>
      </w:r>
    </w:p>
    <w:p>
      <w:pPr>
        <w:widowControl/>
        <w:spacing w:line="600" w:lineRule="atLeas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随着机构的整合，与我局职能相关的多部法律法规修订较大。为适应这一情况，进一步强化领导干部法治思维意识，提升一线执法人员依法行政能力。</w:t>
      </w:r>
      <w:r>
        <w:rPr>
          <w:rFonts w:hint="eastAsia" w:ascii="仿宋_GB2312" w:hAnsi="宋体" w:eastAsia="仿宋_GB2312" w:cs="宋体"/>
          <w:b/>
          <w:color w:val="000000"/>
          <w:kern w:val="0"/>
          <w:sz w:val="32"/>
          <w:szCs w:val="32"/>
        </w:rPr>
        <w:t>一是</w:t>
      </w:r>
      <w:r>
        <w:rPr>
          <w:rFonts w:hint="eastAsia" w:ascii="仿宋_GB2312" w:hAnsi="宋体" w:eastAsia="仿宋_GB2312" w:cs="宋体"/>
          <w:color w:val="000000"/>
          <w:kern w:val="0"/>
          <w:sz w:val="32"/>
          <w:szCs w:val="32"/>
        </w:rPr>
        <w:t>严格落实领导干部学法制度，在年初制定领导干部年度学法计划并组织实施。如，针对新实施的法律法规，县局党组中心组成员率先垂范，带头学习上述新修订的法律法规。同时，我局将领导干部学法情况作为年度考核、任免、评先、晋升的重要依据，提高全系统对学法重要性的认识，做到积极、主动学法用法。</w:t>
      </w:r>
      <w:r>
        <w:rPr>
          <w:rFonts w:hint="eastAsia" w:ascii="仿宋_GB2312" w:hAnsi="宋体" w:eastAsia="仿宋_GB2312" w:cs="宋体"/>
          <w:b/>
          <w:color w:val="000000"/>
          <w:kern w:val="0"/>
          <w:sz w:val="32"/>
          <w:szCs w:val="32"/>
        </w:rPr>
        <w:t>二是</w:t>
      </w:r>
      <w:r>
        <w:rPr>
          <w:rFonts w:hint="eastAsia" w:ascii="仿宋_GB2312" w:hAnsi="宋体" w:eastAsia="仿宋_GB2312" w:cs="宋体"/>
          <w:color w:val="000000"/>
          <w:kern w:val="0"/>
          <w:sz w:val="32"/>
          <w:szCs w:val="32"/>
        </w:rPr>
        <w:t>全面开展法制培训工作。2019年，我局结合工作实际，通过参与省市组织的培训、邀请市局相关科室领导现场授课等形式，积极开展业务培训活动，帮助执法人员尽快熟悉、掌握并准确适用新法律法规及政策性文件。同时，我局还通过现场座谈、执法检查、案件交流等方式对全系统办案骨干进行了业务指导和加强宪法学习等，进一步提升了全系统执法人员的依法行政能力。2019年共举办各类业务培训班十多期，</w:t>
      </w:r>
      <w:r>
        <w:rPr>
          <w:rFonts w:ascii="仿宋_GB2312" w:hAnsi="宋体" w:eastAsia="仿宋_GB2312" w:cs="宋体"/>
          <w:color w:val="000000"/>
          <w:kern w:val="0"/>
          <w:sz w:val="32"/>
          <w:szCs w:val="32"/>
        </w:rPr>
        <w:t>参加省、市、县各类学习培训共60多期，全面提升执法人员的依法行政水平。</w:t>
      </w:r>
      <w:r>
        <w:rPr>
          <w:rFonts w:hint="eastAsia" w:ascii="仿宋_GB2312" w:hAnsi="宋体" w:eastAsia="仿宋_GB2312" w:cs="宋体"/>
          <w:color w:val="000000"/>
          <w:kern w:val="0"/>
          <w:sz w:val="32"/>
          <w:szCs w:val="32"/>
        </w:rPr>
        <w:t>三</w:t>
      </w:r>
      <w:r>
        <w:rPr>
          <w:rFonts w:hint="eastAsia" w:ascii="仿宋_GB2312" w:hAnsi="宋体" w:eastAsia="仿宋_GB2312" w:cs="宋体"/>
          <w:b/>
          <w:color w:val="000000"/>
          <w:kern w:val="0"/>
          <w:sz w:val="32"/>
          <w:szCs w:val="32"/>
        </w:rPr>
        <w:t>是</w:t>
      </w:r>
      <w:r>
        <w:rPr>
          <w:rFonts w:hint="eastAsia" w:ascii="仿宋_GB2312" w:hAnsi="宋体" w:eastAsia="仿宋_GB2312" w:cs="宋体"/>
          <w:color w:val="000000"/>
          <w:kern w:val="0"/>
          <w:sz w:val="32"/>
          <w:szCs w:val="32"/>
        </w:rPr>
        <w:t>制定《遂溪县市场监督管理局建立以案释法制度实施意见》，以发布和解读各类行政执法案件、消费维权案例等为手段，围绕事实、证据、程序和法律适用等问题，广泛开展以案说法、以案释法活动，向当事人（包括行政执法相对人、消费纠纷投诉人和被投诉）和社会公众宣传各种法律法规。</w:t>
      </w:r>
    </w:p>
    <w:p>
      <w:pPr>
        <w:widowControl/>
        <w:spacing w:line="600" w:lineRule="atLeast"/>
        <w:ind w:firstLine="640" w:firstLineChars="200"/>
        <w:jc w:val="left"/>
        <w:rPr>
          <w:rFonts w:ascii="宋体" w:hAnsi="宋体" w:eastAsia="宋体" w:cs="宋体"/>
          <w:color w:val="000000"/>
          <w:kern w:val="0"/>
          <w:sz w:val="32"/>
          <w:szCs w:val="32"/>
        </w:rPr>
      </w:pPr>
      <w:r>
        <w:rPr>
          <w:rFonts w:hint="eastAsia" w:ascii="Times New Roman" w:hAnsi="黑体" w:eastAsia="黑体" w:cs="宋体"/>
          <w:color w:val="000000"/>
          <w:kern w:val="0"/>
          <w:sz w:val="32"/>
          <w:szCs w:val="32"/>
        </w:rPr>
        <w:t>二、存在的问题</w:t>
      </w:r>
    </w:p>
    <w:p>
      <w:pPr>
        <w:widowControl/>
        <w:spacing w:line="600" w:lineRule="atLeast"/>
        <w:ind w:firstLine="640" w:firstLineChars="200"/>
        <w:jc w:val="left"/>
        <w:rPr>
          <w:rFonts w:ascii="宋体" w:hAnsi="宋体" w:eastAsia="宋体" w:cs="宋体"/>
          <w:color w:val="000000"/>
          <w:kern w:val="0"/>
          <w:sz w:val="32"/>
          <w:szCs w:val="32"/>
        </w:rPr>
      </w:pPr>
      <w:r>
        <w:rPr>
          <w:rFonts w:hint="eastAsia" w:ascii="仿宋_GB2312" w:hAnsi="宋体" w:eastAsia="仿宋_GB2312" w:cs="宋体"/>
          <w:color w:val="000000"/>
          <w:kern w:val="0"/>
          <w:sz w:val="32"/>
          <w:szCs w:val="32"/>
        </w:rPr>
        <w:t>虽然2019年我局法治政府建设工作取得了一定成效，但也存在一些不足，主要表现在运用法治思维和法治方式解决问题的能力仍待进一步提高；信用监管的效能还未得到充分发挥，新型监管体系亟待进一步构建；创新能力稍显不足，各项改革仍需进一步深化等方面。</w:t>
      </w:r>
    </w:p>
    <w:p>
      <w:pPr>
        <w:widowControl/>
        <w:spacing w:line="600" w:lineRule="atLeast"/>
        <w:ind w:firstLine="640" w:firstLineChars="200"/>
        <w:jc w:val="left"/>
        <w:rPr>
          <w:rFonts w:ascii="宋体" w:hAnsi="宋体" w:eastAsia="宋体" w:cs="宋体"/>
          <w:color w:val="000000"/>
          <w:kern w:val="0"/>
          <w:sz w:val="32"/>
          <w:szCs w:val="32"/>
        </w:rPr>
      </w:pPr>
      <w:r>
        <w:rPr>
          <w:rFonts w:hint="eastAsia" w:ascii="Times New Roman" w:hAnsi="黑体" w:eastAsia="黑体" w:cs="宋体"/>
          <w:color w:val="000000"/>
          <w:kern w:val="0"/>
          <w:sz w:val="32"/>
          <w:szCs w:val="32"/>
        </w:rPr>
        <w:t>三、下一步工作打算</w:t>
      </w:r>
    </w:p>
    <w:p>
      <w:pPr>
        <w:widowControl/>
        <w:spacing w:line="600" w:lineRule="atLeast"/>
        <w:ind w:firstLine="640" w:firstLineChars="200"/>
        <w:jc w:val="left"/>
        <w:rPr>
          <w:rFonts w:ascii="宋体" w:hAnsi="宋体" w:eastAsia="宋体" w:cs="宋体"/>
          <w:color w:val="000000"/>
          <w:kern w:val="0"/>
          <w:sz w:val="32"/>
          <w:szCs w:val="32"/>
        </w:rPr>
      </w:pPr>
      <w:r>
        <w:rPr>
          <w:rFonts w:hint="eastAsia" w:ascii="仿宋_GB2312" w:hAnsi="宋体" w:eastAsia="仿宋_GB2312" w:cs="宋体"/>
          <w:color w:val="000000"/>
          <w:kern w:val="0"/>
          <w:sz w:val="32"/>
          <w:szCs w:val="32"/>
        </w:rPr>
        <w:t>2020年，县市场监督管理局将按照县委、县政府和省、市局的部署，以持续深化改革为主基调，以进一步加强和完善监管与服务措施为主要内容，以进一步加强队伍建设构建新型市监为主要方向，着力强化以下各项工作。</w:t>
      </w:r>
    </w:p>
    <w:p>
      <w:pPr>
        <w:widowControl/>
        <w:spacing w:line="600" w:lineRule="atLeast"/>
        <w:ind w:firstLine="643" w:firstLineChars="200"/>
        <w:jc w:val="left"/>
        <w:rPr>
          <w:rFonts w:ascii="Times New Roman" w:hAnsi="楷体_GB2312" w:eastAsia="楷体_GB2312" w:cs="宋体"/>
          <w:b/>
          <w:color w:val="000000"/>
          <w:kern w:val="0"/>
          <w:sz w:val="32"/>
          <w:szCs w:val="32"/>
        </w:rPr>
      </w:pPr>
      <w:r>
        <w:rPr>
          <w:rFonts w:hint="eastAsia" w:ascii="Times New Roman" w:hAnsi="楷体_GB2312" w:eastAsia="楷体_GB2312" w:cs="宋体"/>
          <w:b/>
          <w:color w:val="000000"/>
          <w:kern w:val="0"/>
          <w:sz w:val="32"/>
          <w:szCs w:val="32"/>
        </w:rPr>
        <w:t>（一）进一步加强对法治建设的领导，保障法治市监建设</w:t>
      </w:r>
    </w:p>
    <w:p>
      <w:pPr>
        <w:widowControl/>
        <w:spacing w:line="600" w:lineRule="atLeast"/>
        <w:ind w:firstLine="640" w:firstLineChars="200"/>
        <w:jc w:val="left"/>
        <w:rPr>
          <w:rFonts w:ascii="宋体" w:hAnsi="宋体" w:eastAsia="宋体" w:cs="宋体"/>
          <w:color w:val="000000"/>
          <w:kern w:val="0"/>
          <w:sz w:val="32"/>
          <w:szCs w:val="32"/>
        </w:rPr>
      </w:pPr>
      <w:r>
        <w:rPr>
          <w:rFonts w:hint="eastAsia" w:ascii="仿宋_GB2312" w:hAnsi="宋体" w:eastAsia="仿宋_GB2312" w:cs="宋体"/>
          <w:color w:val="000000"/>
          <w:kern w:val="0"/>
          <w:sz w:val="32"/>
          <w:szCs w:val="32"/>
        </w:rPr>
        <w:t xml:space="preserve">进一步完善法治市监建设领导机构，严格落实党政主要负责人履行推进法治建设第一责任人职责，加强对法治工作的统一领导、统一部署、统筹协调，有计划、分步骤地推进重点工作。大力提升法制队伍和执法队伍的整体素质和专业化水平。结合法治广东建设考核细则以及县直机关“四个全面”绩效考核（依法行政和行政执法情况）标准，加强评价考核工作，认真完成各项工作任务。   </w:t>
      </w:r>
    </w:p>
    <w:p>
      <w:pPr>
        <w:widowControl/>
        <w:spacing w:line="600" w:lineRule="atLeast"/>
        <w:ind w:firstLine="643" w:firstLineChars="200"/>
        <w:jc w:val="left"/>
        <w:rPr>
          <w:rFonts w:ascii="宋体" w:hAnsi="宋体" w:eastAsia="宋体" w:cs="宋体"/>
          <w:color w:val="000000"/>
          <w:kern w:val="0"/>
          <w:sz w:val="32"/>
          <w:szCs w:val="32"/>
        </w:rPr>
      </w:pPr>
      <w:r>
        <w:rPr>
          <w:rFonts w:hint="eastAsia" w:ascii="Times New Roman" w:hAnsi="楷体_GB2312" w:eastAsia="楷体_GB2312" w:cs="宋体"/>
          <w:b/>
          <w:color w:val="000000"/>
          <w:kern w:val="0"/>
          <w:sz w:val="32"/>
          <w:szCs w:val="32"/>
        </w:rPr>
        <w:t>（二）继续深化商事制度改革，</w:t>
      </w:r>
      <w:r>
        <w:rPr>
          <w:rFonts w:hint="eastAsia" w:ascii="楷体_GB2312" w:hAnsi="楷体" w:eastAsia="楷体_GB2312" w:cs="楷体_GB2312"/>
          <w:b/>
          <w:bCs/>
          <w:color w:val="000000"/>
          <w:kern w:val="0"/>
          <w:sz w:val="32"/>
          <w:szCs w:val="32"/>
        </w:rPr>
        <w:t>优化遂溪营商环境</w:t>
      </w:r>
      <w:r>
        <w:rPr>
          <w:rFonts w:hint="eastAsia" w:ascii="楷体_GB2312" w:hAnsi="楷体" w:eastAsia="楷体_GB2312" w:cs="楷体_GB2312"/>
          <w:b/>
          <w:bCs/>
          <w:color w:val="000000"/>
          <w:spacing w:val="-4"/>
          <w:kern w:val="0"/>
          <w:sz w:val="32"/>
          <w:szCs w:val="32"/>
        </w:rPr>
        <w:t xml:space="preserve"> </w:t>
      </w:r>
    </w:p>
    <w:p>
      <w:pPr>
        <w:widowControl/>
        <w:spacing w:line="600" w:lineRule="atLeast"/>
        <w:ind w:firstLine="640" w:firstLineChars="200"/>
        <w:jc w:val="left"/>
        <w:rPr>
          <w:rFonts w:ascii="宋体" w:hAnsi="宋体" w:eastAsia="宋体" w:cs="宋体"/>
          <w:color w:val="000000"/>
          <w:kern w:val="0"/>
          <w:sz w:val="32"/>
          <w:szCs w:val="32"/>
        </w:rPr>
      </w:pPr>
      <w:r>
        <w:rPr>
          <w:rFonts w:hint="eastAsia" w:ascii="仿宋_GB2312" w:hAnsi="宋体" w:eastAsia="仿宋_GB2312" w:cs="宋体"/>
          <w:color w:val="000000"/>
          <w:kern w:val="0"/>
          <w:sz w:val="32"/>
          <w:szCs w:val="32"/>
        </w:rPr>
        <w:t>以更大的力度，在更深的广度系统推进商事制度改革，优化遂溪营商环境。继续深化推进“多证合一”改革，</w:t>
      </w:r>
      <w:r>
        <w:rPr>
          <w:rFonts w:hint="eastAsia" w:ascii="仿宋_GB2312" w:hAnsi="仿宋" w:eastAsia="仿宋_GB2312" w:cs="仿宋"/>
          <w:color w:val="000000"/>
          <w:kern w:val="0"/>
          <w:sz w:val="32"/>
          <w:szCs w:val="32"/>
        </w:rPr>
        <w:t>以“减证”推动“简政”。全面推行全流程电子化商事登记，拓展电子营业执照应用，推广商事登记银政直通车服务，进一步便民利企。全面优化服务制度。</w:t>
      </w:r>
      <w:r>
        <w:rPr>
          <w:rFonts w:hint="eastAsia" w:ascii="仿宋_GB2312" w:hAnsi="仿宋_GB2312" w:eastAsia="仿宋_GB2312" w:cs="仿宋_GB2312"/>
          <w:color w:val="000000"/>
          <w:kern w:val="0"/>
          <w:sz w:val="32"/>
          <w:szCs w:val="32"/>
        </w:rPr>
        <w:t>聚焦企业需求，完善</w:t>
      </w:r>
      <w:r>
        <w:rPr>
          <w:rFonts w:hint="eastAsia" w:ascii="仿宋_GB2312" w:hAnsi="仿宋" w:eastAsia="仿宋_GB2312" w:cs="仿宋"/>
          <w:color w:val="000000"/>
          <w:kern w:val="0"/>
          <w:sz w:val="32"/>
          <w:szCs w:val="32"/>
        </w:rPr>
        <w:t>行政审批事项制、</w:t>
      </w:r>
      <w:r>
        <w:rPr>
          <w:rFonts w:hint="eastAsia" w:ascii="仿宋_GB2312" w:hAnsi="仿宋_GB2312" w:eastAsia="仿宋_GB2312" w:cs="仿宋_GB2312"/>
          <w:color w:val="000000"/>
          <w:kern w:val="0"/>
          <w:sz w:val="32"/>
          <w:szCs w:val="32"/>
        </w:rPr>
        <w:t>“容缺受理”制、</w:t>
      </w:r>
      <w:r>
        <w:rPr>
          <w:rFonts w:hint="eastAsia" w:ascii="仿宋_GB2312" w:hAnsi="仿宋" w:eastAsia="仿宋_GB2312" w:cs="仿宋_GB2312"/>
          <w:bCs/>
          <w:color w:val="000000"/>
          <w:kern w:val="0"/>
          <w:sz w:val="32"/>
          <w:szCs w:val="32"/>
        </w:rPr>
        <w:t>领导挂点服务企业制</w:t>
      </w:r>
      <w:r>
        <w:rPr>
          <w:rFonts w:hint="eastAsia" w:ascii="仿宋_GB2312" w:hAnsi="仿宋_GB2312" w:eastAsia="仿宋_GB2312" w:cs="仿宋_GB2312"/>
          <w:color w:val="000000"/>
          <w:kern w:val="0"/>
          <w:sz w:val="32"/>
          <w:szCs w:val="32"/>
        </w:rPr>
        <w:t>等制度，提升服务便利化、高效化水平，使企业有更多获得感。</w:t>
      </w:r>
    </w:p>
    <w:p>
      <w:pPr>
        <w:widowControl/>
        <w:spacing w:line="600" w:lineRule="atLeast"/>
        <w:ind w:firstLine="640" w:firstLineChars="200"/>
        <w:jc w:val="left"/>
        <w:rPr>
          <w:rFonts w:ascii="宋体" w:hAnsi="宋体" w:eastAsia="宋体" w:cs="宋体"/>
          <w:color w:val="000000"/>
          <w:kern w:val="0"/>
          <w:sz w:val="32"/>
          <w:szCs w:val="32"/>
        </w:rPr>
      </w:pPr>
      <w:r>
        <w:rPr>
          <w:rFonts w:hint="eastAsia" w:ascii="仿宋_GB2312" w:hAnsi="宋体" w:eastAsia="仿宋_GB2312" w:cs="宋体"/>
          <w:color w:val="000000"/>
          <w:kern w:val="0"/>
          <w:sz w:val="32"/>
          <w:szCs w:val="32"/>
        </w:rPr>
        <w:t>加快市场监管体系建设，推进市场监管现代化。</w:t>
      </w:r>
      <w:r>
        <w:rPr>
          <w:rFonts w:hint="eastAsia" w:ascii="仿宋_GB2312" w:hAnsi="宋体" w:eastAsia="仿宋_GB2312" w:cs="宋体"/>
          <w:b/>
          <w:color w:val="000000"/>
          <w:kern w:val="0"/>
          <w:sz w:val="32"/>
          <w:szCs w:val="32"/>
        </w:rPr>
        <w:t>一是</w:t>
      </w:r>
      <w:r>
        <w:rPr>
          <w:rFonts w:hint="eastAsia" w:ascii="仿宋_GB2312" w:hAnsi="宋体" w:eastAsia="仿宋_GB2312" w:cs="宋体"/>
          <w:color w:val="000000"/>
          <w:kern w:val="0"/>
          <w:sz w:val="32"/>
          <w:szCs w:val="32"/>
        </w:rPr>
        <w:t>全面实施</w:t>
      </w:r>
      <w:r>
        <w:rPr>
          <w:rFonts w:hint="eastAsia" w:ascii="仿宋_GB2312" w:hAnsi="宋体" w:eastAsia="仿宋_GB2312" w:cs="宋体"/>
          <w:color w:val="000000"/>
          <w:kern w:val="0"/>
          <w:sz w:val="32"/>
          <w:szCs w:val="32"/>
          <w:lang w:eastAsia="zh-CN"/>
        </w:rPr>
        <w:t>“双随机、一公开</w:t>
      </w:r>
      <w:r>
        <w:rPr>
          <w:rFonts w:hint="eastAsia" w:ascii="仿宋_GB2312" w:hAnsi="宋体" w:eastAsia="仿宋_GB2312" w:cs="宋体"/>
          <w:color w:val="000000"/>
          <w:kern w:val="0"/>
          <w:sz w:val="32"/>
          <w:szCs w:val="32"/>
        </w:rPr>
        <w:t>工作。着力加快</w:t>
      </w:r>
      <w:r>
        <w:rPr>
          <w:rFonts w:hint="eastAsia" w:ascii="仿宋_GB2312" w:hAnsi="宋体" w:eastAsia="仿宋_GB2312" w:cs="宋体"/>
          <w:color w:val="000000"/>
          <w:kern w:val="0"/>
          <w:sz w:val="32"/>
          <w:szCs w:val="32"/>
          <w:lang w:eastAsia="zh-CN"/>
        </w:rPr>
        <w:t>“双随机、一公开”监管</w:t>
      </w:r>
      <w:r>
        <w:rPr>
          <w:rFonts w:hint="eastAsia" w:ascii="仿宋_GB2312" w:hAnsi="宋体" w:eastAsia="仿宋_GB2312" w:cs="宋体"/>
          <w:color w:val="000000"/>
          <w:kern w:val="0"/>
          <w:sz w:val="32"/>
          <w:szCs w:val="32"/>
        </w:rPr>
        <w:t>系统建设，推进市场监管和行政执法事项随机抽查全覆盖。积极探索推进跨部门联合抽查，推进公平、公正、公开监管。二是继续加强企业信用监管和“一库两平台”的应用，与“全国一张网”有效对接，归集整合涉企信用信息，完善跨部门信息共享、协同监管和联合惩戒机制。探索利用人工智能手段提高监管效能。</w:t>
      </w:r>
      <w:r>
        <w:rPr>
          <w:rFonts w:hint="eastAsia" w:ascii="仿宋_GB2312" w:hAnsi="宋体" w:eastAsia="仿宋_GB2312" w:cs="宋体"/>
          <w:b/>
          <w:color w:val="000000"/>
          <w:kern w:val="0"/>
          <w:sz w:val="32"/>
          <w:szCs w:val="32"/>
        </w:rPr>
        <w:t>三是</w:t>
      </w:r>
      <w:r>
        <w:rPr>
          <w:rFonts w:hint="eastAsia" w:ascii="仿宋_GB2312" w:hAnsi="宋体" w:eastAsia="仿宋_GB2312" w:cs="宋体"/>
          <w:color w:val="000000"/>
          <w:kern w:val="0"/>
          <w:sz w:val="32"/>
          <w:szCs w:val="32"/>
        </w:rPr>
        <w:t>规范市场秩序。加大重点领域监管执法力度，加强网络市场监管，解决民生关注的热点难点问题，营造清朗的网络空间。狠抓食品、药品、特种设备安全监管、反不正当竞争执法，知识产权保护，维护公平竞争的市场环境。保持打击传销高压态势，加强直销监管，维护社会和谐稳定。</w:t>
      </w:r>
    </w:p>
    <w:p>
      <w:pPr>
        <w:widowControl/>
        <w:spacing w:line="600" w:lineRule="atLeast"/>
        <w:ind w:firstLine="800" w:firstLineChars="25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市场监督管理法治建设是一项根本性、全局性、系统性和长期性的工作，我局将认真贯彻落实党的十九大精神，对标十九大报告强调的深化商事制度改革、完善市场监管体制等要求，把贯彻落实法治建设五年计划与市场监督管理系统各项改革任务更加紧密地结合起来，完善各项规章制度，依法全面履行市场监管职能，不断推动我局依法行政工作迈上新台阶。</w:t>
      </w:r>
    </w:p>
    <w:p>
      <w:pPr>
        <w:widowControl/>
        <w:spacing w:line="600" w:lineRule="atLeast"/>
        <w:ind w:firstLine="800" w:firstLineChars="250"/>
        <w:jc w:val="left"/>
        <w:rPr>
          <w:rFonts w:hint="eastAsia" w:ascii="宋体" w:hAnsi="宋体" w:eastAsia="宋体" w:cs="宋体"/>
          <w:color w:val="000000"/>
          <w:kern w:val="0"/>
          <w:sz w:val="32"/>
          <w:szCs w:val="32"/>
        </w:rPr>
      </w:pPr>
    </w:p>
    <w:p>
      <w:pPr>
        <w:widowControl/>
        <w:spacing w:line="600" w:lineRule="atLeast"/>
        <w:ind w:firstLine="800" w:firstLineChars="250"/>
        <w:jc w:val="left"/>
        <w:rPr>
          <w:rFonts w:ascii="宋体" w:hAnsi="宋体" w:eastAsia="宋体" w:cs="宋体"/>
          <w:color w:val="000000"/>
          <w:kern w:val="0"/>
          <w:sz w:val="32"/>
          <w:szCs w:val="32"/>
        </w:rPr>
      </w:pPr>
    </w:p>
    <w:p>
      <w:pPr>
        <w:widowControl/>
        <w:spacing w:line="600" w:lineRule="atLeast"/>
        <w:ind w:firstLine="800" w:firstLineChars="250"/>
        <w:jc w:val="righ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遂溪县市场监督管理局</w:t>
      </w:r>
    </w:p>
    <w:p>
      <w:pPr>
        <w:widowControl/>
        <w:spacing w:line="600" w:lineRule="atLeast"/>
        <w:ind w:firstLine="800" w:firstLineChars="250"/>
        <w:jc w:val="righ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2020年1月10日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54608912"/>
      <w:docPartObj>
        <w:docPartGallery w:val="AutoText"/>
      </w:docPartObj>
    </w:sdtPr>
    <w:sdtContent>
      <w:p>
        <w:pPr>
          <w:pStyle w:val="3"/>
          <w:jc w:val="center"/>
        </w:pPr>
        <w:r>
          <w:fldChar w:fldCharType="begin"/>
        </w:r>
        <w:r>
          <w:instrText xml:space="preserve">PAGE   \* MERGEFORMAT</w:instrText>
        </w:r>
        <w:r>
          <w:fldChar w:fldCharType="separate"/>
        </w:r>
        <w:r>
          <w:rPr>
            <w:lang w:val="zh-CN"/>
          </w:rPr>
          <w:t>13</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mNWNiNjM0Yzc1ZTc1ZGI0NzFiZGQ1MTJlMWU3MTkifQ=="/>
  </w:docVars>
  <w:rsids>
    <w:rsidRoot w:val="0057026E"/>
    <w:rsid w:val="00003CEC"/>
    <w:rsid w:val="00053464"/>
    <w:rsid w:val="000B12F4"/>
    <w:rsid w:val="001A007F"/>
    <w:rsid w:val="00280B99"/>
    <w:rsid w:val="00285CCC"/>
    <w:rsid w:val="002C6496"/>
    <w:rsid w:val="00342FB5"/>
    <w:rsid w:val="00366DE4"/>
    <w:rsid w:val="00496E93"/>
    <w:rsid w:val="00516C65"/>
    <w:rsid w:val="00517E7D"/>
    <w:rsid w:val="005337BE"/>
    <w:rsid w:val="0057026E"/>
    <w:rsid w:val="00580B37"/>
    <w:rsid w:val="005C653B"/>
    <w:rsid w:val="006022A4"/>
    <w:rsid w:val="006312BC"/>
    <w:rsid w:val="006421CF"/>
    <w:rsid w:val="00683D37"/>
    <w:rsid w:val="006E5767"/>
    <w:rsid w:val="007119C5"/>
    <w:rsid w:val="00712311"/>
    <w:rsid w:val="00745BCF"/>
    <w:rsid w:val="007463B4"/>
    <w:rsid w:val="007C653A"/>
    <w:rsid w:val="007F231B"/>
    <w:rsid w:val="008013A7"/>
    <w:rsid w:val="00842F44"/>
    <w:rsid w:val="00863C70"/>
    <w:rsid w:val="00894C3C"/>
    <w:rsid w:val="008C0FCC"/>
    <w:rsid w:val="00904834"/>
    <w:rsid w:val="009255DA"/>
    <w:rsid w:val="0093097E"/>
    <w:rsid w:val="00936D49"/>
    <w:rsid w:val="00954E82"/>
    <w:rsid w:val="0095503F"/>
    <w:rsid w:val="00956598"/>
    <w:rsid w:val="009B2AEE"/>
    <w:rsid w:val="009B3A95"/>
    <w:rsid w:val="009C5711"/>
    <w:rsid w:val="009E4FF1"/>
    <w:rsid w:val="009F7445"/>
    <w:rsid w:val="00A24FB4"/>
    <w:rsid w:val="00A7407F"/>
    <w:rsid w:val="00A91706"/>
    <w:rsid w:val="00B1100B"/>
    <w:rsid w:val="00B4228D"/>
    <w:rsid w:val="00B441DE"/>
    <w:rsid w:val="00BA1D72"/>
    <w:rsid w:val="00BB380C"/>
    <w:rsid w:val="00BE2C77"/>
    <w:rsid w:val="00C1047C"/>
    <w:rsid w:val="00C54A03"/>
    <w:rsid w:val="00C60D23"/>
    <w:rsid w:val="00C75018"/>
    <w:rsid w:val="00C833A7"/>
    <w:rsid w:val="00CB328D"/>
    <w:rsid w:val="00CE1607"/>
    <w:rsid w:val="00D46C9E"/>
    <w:rsid w:val="00DB5D68"/>
    <w:rsid w:val="00DE60A1"/>
    <w:rsid w:val="00E23BE2"/>
    <w:rsid w:val="00E447BE"/>
    <w:rsid w:val="00ED2E8F"/>
    <w:rsid w:val="00F07008"/>
    <w:rsid w:val="00FD4ED9"/>
    <w:rsid w:val="521D74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4CE303-626B-46F8-9B39-70995A1A97DF}">
  <ds:schemaRefs/>
</ds:datastoreItem>
</file>

<file path=docProps/app.xml><?xml version="1.0" encoding="utf-8"?>
<Properties xmlns="http://schemas.openxmlformats.org/officeDocument/2006/extended-properties" xmlns:vt="http://schemas.openxmlformats.org/officeDocument/2006/docPropsVTypes">
  <Template>Normal</Template>
  <Company>Company</Company>
  <Pages>13</Pages>
  <Words>990</Words>
  <Characters>5649</Characters>
  <Lines>47</Lines>
  <Paragraphs>13</Paragraphs>
  <TotalTime>350</TotalTime>
  <ScaleCrop>false</ScaleCrop>
  <LinksUpToDate>false</LinksUpToDate>
  <CharactersWithSpaces>6626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2019-11-01T08:54:00Z</dcterms:created>
  <dc:creator>陈泉</dc:creator>
  <cp:lastModifiedBy>Administrator</cp:lastModifiedBy>
  <cp:lastPrinted>2019-11-05T02:31:00Z</cp:lastPrinted>
  <dcterms:modified xsi:type="dcterms:W3CDTF">2023-10-24T01:57:19Z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FEED3EA731B04742810A81E39FD86F8E_13</vt:lpwstr>
  </property>
</Properties>
</file>