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883" w:firstLineChars="200"/>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遂溪县卫生监督所</w:t>
      </w:r>
    </w:p>
    <w:p>
      <w:pPr>
        <w:keepNext w:val="0"/>
        <w:keepLines w:val="0"/>
        <w:pageBreakBefore w:val="0"/>
        <w:widowControl w:val="0"/>
        <w:kinsoku/>
        <w:wordWrap/>
        <w:overflowPunct/>
        <w:topLinePunct w:val="0"/>
        <w:autoSpaceDE/>
        <w:autoSpaceDN/>
        <w:bidi w:val="0"/>
        <w:adjustRightInd/>
        <w:snapToGrid/>
        <w:ind w:firstLine="883" w:firstLineChars="200"/>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2016年部门决算分析报告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一、单位情况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（一）基本情况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1、机构设置和职能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遂溪县卫生监督所是2005年2月成立的副科级单位， 内设机构有公共卫生监督股和医疗卫生监督股2个股室，承担着全县综合卫生监督执法任务。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2、人员情况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单位核定编制14名，其中公务员12名，后勤编制2名。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年未我所实有在职在编人数12人；其中公务员9人，后勤编制人员3人；退休12人。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（二）2016年取得的主要事业成效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1、多方协调，扎实推进非法行医专项整治活动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非法行医现象是社会的一大毒瘤，严重危害着人民群众的身体健康安全。一直以来，我所认真贯彻国家卫生和计划生育委员会打击非法行医工作部署，努力探索有益有力的打击非法行医的措施，严格卫生监督执法，积极开展非法行医专项整治活动，不断完善卫生医疗监督工作。在2016年打击非法行医工作中，共出动医疗执法人员400人次，取缔无证诊所26间，共发出行政处罚决定书50份，没收违法所得18.9万元，罚款金额达20万余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2、省卫生镇(县城)复审顺利通过。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了迎接省卫生镇(县城)复审工作，我所制定详细具体的实施方案，周密部署、对县城公共场所卫生进行全面检查指导，要求公共场所按照《广东省卫生镇（县城）标准》做好公共卫生工作，特别是对省爱卫办专家组暗访反馈存在问题的公共场所进行铁腕整治，消除了创卫中难点。在11月17日省卫生镇(县城)现场检查中，我所共有3个点接受检查组的检查考核，获得较高评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3、建章立制，明确责任，监管执法更显规范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一是制定权责清单。</w:t>
      </w:r>
      <w:r>
        <w:rPr>
          <w:rFonts w:hint="eastAsia" w:ascii="仿宋" w:hAnsi="仿宋" w:eastAsia="仿宋" w:cs="仿宋"/>
          <w:sz w:val="32"/>
          <w:szCs w:val="32"/>
        </w:rPr>
        <w:t>结合市所清单及遂溪实际，制定权责清单，明确行政监管重点，确定监管责任，严格按权责清单履职尽责。</w:t>
      </w:r>
      <w:r>
        <w:rPr>
          <w:rFonts w:hint="eastAsia" w:ascii="仿宋" w:hAnsi="仿宋" w:eastAsia="仿宋" w:cs="仿宋"/>
          <w:sz w:val="32"/>
          <w:szCs w:val="32"/>
        </w:rPr>
        <w:t>二是</w:t>
      </w:r>
      <w:r>
        <w:rPr>
          <w:rFonts w:hint="eastAsia" w:ascii="仿宋" w:hAnsi="仿宋" w:eastAsia="仿宋" w:cs="仿宋"/>
          <w:sz w:val="32"/>
          <w:szCs w:val="32"/>
        </w:rPr>
        <w:t>建立日常监管制度。从适用范围、检查依据、监督人员、工作准备、监督方式、执法程序、监督要点、工作记录、工作纪律等九个方面，对 医疗卫生和公共卫生的日常监管进行系统规范，推进卫生监督日常工作标准化。</w:t>
      </w:r>
      <w:r>
        <w:rPr>
          <w:rFonts w:hint="eastAsia" w:ascii="仿宋" w:hAnsi="仿宋" w:eastAsia="仿宋" w:cs="仿宋"/>
          <w:sz w:val="32"/>
          <w:szCs w:val="32"/>
        </w:rPr>
        <w:t>三是</w:t>
      </w:r>
      <w:r>
        <w:rPr>
          <w:rFonts w:hint="eastAsia" w:ascii="仿宋" w:hAnsi="仿宋" w:eastAsia="仿宋" w:cs="仿宋"/>
          <w:sz w:val="32"/>
          <w:szCs w:val="32"/>
        </w:rPr>
        <w:t>完善规范执法制度，规范执法办案、投诉处理、物品管理、案件移送等内容。</w:t>
      </w:r>
      <w:r>
        <w:rPr>
          <w:rFonts w:hint="eastAsia" w:ascii="仿宋" w:hAnsi="仿宋" w:eastAsia="仿宋" w:cs="仿宋"/>
          <w:sz w:val="32"/>
          <w:szCs w:val="32"/>
        </w:rPr>
        <w:t>四是</w:t>
      </w:r>
      <w:r>
        <w:rPr>
          <w:rFonts w:hint="eastAsia" w:ascii="仿宋" w:hAnsi="仿宋" w:eastAsia="仿宋" w:cs="仿宋"/>
          <w:sz w:val="32"/>
          <w:szCs w:val="32"/>
        </w:rPr>
        <w:t>健全应急处置机制。健全完善《遂溪县卫生监督安全事故应急预案》，提高应急组织协调和响应能力。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4、加强建设，锤炼队伍，服务能力进一步提高</w:t>
      </w: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一是加强党组织建设。</w:t>
      </w:r>
      <w:r>
        <w:rPr>
          <w:rFonts w:hint="eastAsia" w:ascii="仿宋" w:hAnsi="仿宋" w:eastAsia="仿宋" w:cs="仿宋"/>
          <w:sz w:val="32"/>
          <w:szCs w:val="32"/>
        </w:rPr>
        <w:t>深入开展“两学一做”</w:t>
      </w:r>
      <w:r>
        <w:rPr>
          <w:rFonts w:hint="eastAsia" w:ascii="仿宋" w:hAnsi="仿宋" w:eastAsia="仿宋" w:cs="仿宋"/>
          <w:sz w:val="32"/>
          <w:szCs w:val="32"/>
          <w:lang w:val="en-US" w:eastAsia="zh-CN"/>
        </w:rPr>
        <w:t>学习</w:t>
      </w:r>
      <w:bookmarkStart w:id="0" w:name="_GoBack"/>
      <w:bookmarkEnd w:id="0"/>
      <w:r>
        <w:rPr>
          <w:rFonts w:hint="eastAsia" w:ascii="仿宋" w:hAnsi="仿宋" w:eastAsia="仿宋" w:cs="仿宋"/>
          <w:sz w:val="32"/>
          <w:szCs w:val="32"/>
        </w:rPr>
        <w:t>教育等工作。完善机关党支部架构，加强党组织建设。</w:t>
      </w:r>
      <w:r>
        <w:rPr>
          <w:rFonts w:hint="eastAsia" w:ascii="仿宋" w:hAnsi="仿宋" w:eastAsia="仿宋" w:cs="仿宋"/>
          <w:sz w:val="32"/>
          <w:szCs w:val="32"/>
        </w:rPr>
        <w:t>二是加强党风廉政建设。</w:t>
      </w:r>
      <w:r>
        <w:rPr>
          <w:rFonts w:hint="eastAsia" w:ascii="仿宋" w:hAnsi="仿宋" w:eastAsia="仿宋" w:cs="仿宋"/>
          <w:sz w:val="32"/>
          <w:szCs w:val="32"/>
        </w:rPr>
        <w:t>完善党风廉政建设责任制工作领导小组，落实党风廉政建设主体责任和监督责任。开展行政审、局重大案件和许可事项回访等活动。开展党员干部廉政谈话，强化党员干部廉洁从政意识和自律意识。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二、收入支出决算执行情况分析</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（一）收入支出决算安排情况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本年财政预算拨款收入1777585.98元，其中：用于社会保障和就业支出618899.88元，用于医疗卫生和计划生育支出883856.1元，年末结转和结余274830元。</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（二）、收入支出决算执行情况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1、收入支出与预算对比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本年财政拨款支出1777585.98元。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基本支出用于人员工资福利支出568807元，商品和服务支出315049.1元，对个人和家庭支出618899.88元。基本支出合计1502755.98元，年末结转和结余274830元。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2、收入支出结构分析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本年财政预算拨款收入1777585.98元，本年财政拨款支出1502755.98元。收支差异原因：是因为农村卫生专项资金未能在2016年内完成县区级卫生监督所建设和公共卫生服务资金项目年底未能完成，致使项目资金结转下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3、重点经济分类支出执行情况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（1）“三公”经费支出情况：  2016年公务接待费支出10000元，与预算10000元对比无增减，与上年对比持平。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（2）公务用车运行维护费支出情况：我所2016年公务用车实有量2台，务用车运行维护费60000元，与去年30000元同比增大100%。增大原因是增加一台执法用车配备。</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（三）年末结转和结余情况</w:t>
      </w: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年末项目支出结转资金274830元，是因为农村卫生专项资金未能在2016年内完成县区级卫生监督所建设和公共卫生服务资金项目年底未能完成，致使项目资金结转下年。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yNjUxODUwMWUwYmExODc4OGM0M2MyNzY5NGRiODIifQ=="/>
  </w:docVars>
  <w:rsids>
    <w:rsidRoot w:val="65721E60"/>
    <w:rsid w:val="3D057D27"/>
    <w:rsid w:val="65721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2024-04-22T09:10:00Z</dcterms:created>
  <dc:creator>曾思諭</dc:creator>
  <cp:lastModifiedBy>曾思諭</cp:lastModifiedBy>
  <dcterms:modified xsi:type="dcterms:W3CDTF">2024-04-22T09:13:25Z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EBA6A67FFF674C1F87B3DFB6E17E1210_11</vt:lpwstr>
  </property>
</Properties>
</file>