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pacing w:before="0" w:line="360" w:lineRule="atLeast"/>
        <w:ind w:firstLine="630"/>
        <w:jc w:val="center"/>
        <w:rPr>
          <w:rFonts w:ascii="华文中宋" w:hAnsi="华文中宋" w:eastAsia="华文中宋" w:cs="华文中宋"/>
          <w:b w:val="0"/>
          <w:bCs w:val="0"/>
          <w:kern w:val="0"/>
          <w:sz w:val="36"/>
          <w:szCs w:val="36"/>
        </w:rPr>
      </w:pPr>
      <w:bookmarkStart w:id="0" w:name="a000"/>
    </w:p>
    <w:p>
      <w:pPr>
        <w:pStyle w:val="2"/>
        <w:keepNext w:val="0"/>
        <w:keepLines w:val="0"/>
        <w:widowControl/>
        <w:spacing w:before="0" w:line="360" w:lineRule="atLeast"/>
        <w:ind w:firstLine="630"/>
        <w:jc w:val="center"/>
        <w:rPr>
          <w:rFonts w:ascii="华文中宋" w:hAnsi="华文中宋" w:eastAsia="华文中宋" w:cs="华文中宋"/>
          <w:b w:val="0"/>
          <w:bCs w:val="0"/>
          <w:kern w:val="0"/>
          <w:sz w:val="36"/>
          <w:szCs w:val="36"/>
        </w:rPr>
      </w:pPr>
      <w:r>
        <w:rPr>
          <w:rFonts w:ascii="华文中宋" w:hAnsi="华文中宋" w:eastAsia="华文中宋" w:cs="华文中宋"/>
          <w:b w:val="0"/>
          <w:bCs w:val="0"/>
          <w:color w:val="auto"/>
          <w:kern w:val="36"/>
          <w:sz w:val="36"/>
          <w:szCs w:val="36"/>
        </w:rPr>
        <w:t>2023年度部门决算分析报告</w:t>
      </w:r>
    </w:p>
    <w:p>
      <w:pPr>
        <w:widowControl/>
        <w:spacing w:before="0" w:after="0" w:line="315" w:lineRule="atLeast"/>
        <w:ind w:firstLine="630"/>
        <w:jc w:val="left"/>
        <w:rPr>
          <w:rFonts w:ascii="仿宋" w:hAnsi="仿宋" w:eastAsia="仿宋" w:cs="仿宋"/>
          <w:kern w:val="0"/>
          <w:sz w:val="32"/>
          <w:szCs w:val="32"/>
        </w:rPr>
      </w:pPr>
    </w:p>
    <w:p>
      <w:pPr>
        <w:pStyle w:val="3"/>
        <w:keepNext w:val="0"/>
        <w:keepLines w:val="0"/>
        <w:widowControl/>
        <w:spacing w:before="0" w:line="315" w:lineRule="atLeast"/>
        <w:ind w:firstLine="630"/>
        <w:jc w:val="left"/>
        <w:rPr>
          <w:rFonts w:ascii="黑体" w:hAnsi="黑体" w:eastAsia="黑体" w:cs="黑体"/>
          <w:b w:val="0"/>
          <w:bCs w:val="0"/>
          <w:kern w:val="0"/>
          <w:sz w:val="32"/>
          <w:szCs w:val="32"/>
        </w:rPr>
      </w:pPr>
      <w:r>
        <w:rPr>
          <w:rFonts w:ascii="黑体" w:hAnsi="黑体" w:eastAsia="黑体" w:cs="黑体"/>
          <w:b w:val="0"/>
          <w:bCs w:val="0"/>
          <w:color w:val="auto"/>
          <w:kern w:val="0"/>
          <w:sz w:val="32"/>
          <w:szCs w:val="32"/>
        </w:rPr>
        <w:t>一、单位情况</w:t>
      </w:r>
    </w:p>
    <w:p>
      <w:pPr>
        <w:widowControl/>
        <w:spacing w:before="0" w:after="0" w:line="315" w:lineRule="atLeast"/>
        <w:ind w:firstLine="630"/>
        <w:jc w:val="left"/>
        <w:rPr>
          <w:rFonts w:ascii="楷体" w:hAnsi="楷体" w:eastAsia="楷体" w:cs="楷体"/>
          <w:kern w:val="0"/>
          <w:sz w:val="32"/>
          <w:szCs w:val="32"/>
        </w:rPr>
      </w:pPr>
      <w:r>
        <w:rPr>
          <w:rFonts w:ascii="楷体" w:hAnsi="楷体" w:eastAsia="楷体" w:cs="楷体"/>
          <w:b/>
          <w:bCs/>
          <w:kern w:val="0"/>
          <w:sz w:val="32"/>
          <w:szCs w:val="32"/>
        </w:rPr>
        <w:t>（一）基本情况。</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1．主要职能。</w:t>
      </w:r>
    </w:p>
    <w:p>
      <w:pPr>
        <w:widowControl/>
        <w:spacing w:before="0" w:after="0" w:line="315" w:lineRule="atLeast"/>
        <w:ind w:firstLine="630"/>
        <w:jc w:val="left"/>
        <w:rPr>
          <w:rFonts w:ascii="仿宋" w:hAnsi="仿宋" w:eastAsia="仿宋" w:cs="仿宋"/>
          <w:kern w:val="0"/>
          <w:sz w:val="32"/>
          <w:szCs w:val="32"/>
        </w:rPr>
      </w:pPr>
      <w:r>
        <w:rPr>
          <w:rFonts w:hint="eastAsia" w:ascii="仿宋_GB2312" w:eastAsia="仿宋_GB2312"/>
          <w:sz w:val="32"/>
          <w:szCs w:val="32"/>
          <w:lang w:val="en-US" w:eastAsia="zh-CN"/>
        </w:rPr>
        <w:t>遂溪县杨柑镇政府</w:t>
      </w:r>
      <w:r>
        <w:rPr>
          <w:rFonts w:hint="eastAsia" w:ascii="仿宋_GB2312" w:eastAsia="仿宋_GB2312"/>
          <w:sz w:val="32"/>
          <w:szCs w:val="32"/>
        </w:rPr>
        <w:t>的主要职责是：一、执行国家行政机关的决定、命令和国家制定的法令、法规，执行本级人民代表大会的各项决议，并报告执行决议、决定和命令的情况。二、制定并落实本行政区域的经济计划和措施，全面提高人民群众的生活水平和生活质量。三、承担国有资产、集体资产管理、监督及增值保值责任。四、开展社会主义民主和法制的宣传教育，保障公民的权利，打击违法犯罪，维护社会稳定。五、制定社会各项事业发展计划，发展教育、卫生、科技、民政、广播电视、文化、体育事业；加强计划生育工作；推进社会保障、社会福利事业和养老保险等工作。六、加强镇级财政的监督和管理。七、指导村（居）民委员会的组织制度建设和业务建设，促进村（居）民委员会民主自治。八、制定和组织实施镇村建设规划，保护和改善生活环境和生态环境。九、协助和支持设置在本行政区域内不隶属于镇的国家机关和企事业单位工作，监督其</w:t>
      </w:r>
      <w:r>
        <w:rPr>
          <w:rFonts w:hint="eastAsia" w:ascii="仿宋_GB2312" w:eastAsia="仿宋_GB2312"/>
          <w:sz w:val="32"/>
          <w:szCs w:val="32"/>
          <w:lang w:eastAsia="zh-CN"/>
        </w:rPr>
        <w:t>遵</w:t>
      </w:r>
      <w:r>
        <w:rPr>
          <w:rFonts w:hint="eastAsia" w:ascii="仿宋_GB2312" w:eastAsia="仿宋_GB2312"/>
          <w:sz w:val="32"/>
          <w:szCs w:val="32"/>
        </w:rPr>
        <w:t>守和执行国家的法律、法规和政策。十、承办本级党委、人大和上级交办的其它事项。</w:t>
      </w:r>
    </w:p>
    <w:p>
      <w:pPr>
        <w:widowControl/>
        <w:numPr>
          <w:ilvl w:val="0"/>
          <w:numId w:val="1"/>
        </w:numPr>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机构情况，本单位广东省遂溪县杨柑镇人民政府 ，一级预算单位 ，报表小类为 单户表 。</w:t>
      </w:r>
      <w:r>
        <w:rPr>
          <w:rFonts w:hint="eastAsia" w:ascii="仿宋_GB2312" w:eastAsia="仿宋_GB2312"/>
          <w:sz w:val="32"/>
          <w:szCs w:val="32"/>
          <w:lang w:val="en-US" w:eastAsia="zh-CN"/>
        </w:rPr>
        <w:t>遂溪县</w:t>
      </w:r>
      <w:r>
        <w:rPr>
          <w:rFonts w:hint="eastAsia" w:ascii="仿宋_GB2312" w:eastAsia="仿宋_GB2312"/>
          <w:sz w:val="32"/>
          <w:szCs w:val="32"/>
        </w:rPr>
        <w:t>杨柑镇政府设11个办公室。1、党政综合办公室，主要负责办公室对应的职能：保密、档案、意识形态、宣传、创文、镇村文明建设、地方志、财务管理、审计、资产管理、接待、会务、后勤保障、对接县政协等工作；2、人大办公室，主要负责镇人大全面工作；3、党建工作办公室，主要负责基层组织建设、党校、党史、党代表、组织人事、机构编制、统一战线、民族宗教、老干部、关工委、机关干部队伍建设，协调工会、共青团、妇联、工商联、侨联等工作；4、纪检监察办公室，主要负责纪检、监察、党风廉政建设、作风建设、巡视巡察等工作；5、公共服务办公室，主要负责党群服务中心、民政、殡改、残联。村民自治、医疗保险、医疗卫生、防疫、爱卫、计划生育，劳动服务保障、教育、文化、旅游、体育、广播电视、新闻出版，科协、镇敬老院等工作；6、综合治理办公室，主要负责综治信访维稳、公安、交警、禁毒、打私、打假、法庭、普法宣传、依法治镇、司法、法制、退役军人事务、武装、民兵、预备役等工作；7、综合行政执法办公室，主要负责综合行政执法、城管、市场监管、物业、交通管理、生猪管理、市容卫生秩序、征地拆迁、违法及违章建筑监管查处和整治等工作；3、农业办公室，主要负责搞好农村联产承包责任制，管理好全镇农田水利建设，农业技术培训和技术推广等工作；4、计划生育办公室，主要是负责计划生育宣传教育和统计工作、避孕药具的发放及使用指导等工作；5、规划建设办公室，主要负责辖区内建设项目的规划和报建手续，以及各类土地利用等工作；6、经济发展办公室，主要负责协助工商、税务部门做好税费的收缴，协助企业做好生产、营销等工作。</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3．人员情况，本单位年末独立核算机构数 1 个，在职人员 103 人，离退休人员合计  0 人，其中由养老保险基金发放养老金的 0 人，年末遗属人员 0 人。</w:t>
      </w:r>
    </w:p>
    <w:p>
      <w:pPr>
        <w:widowControl/>
        <w:spacing w:before="0" w:after="0" w:line="315" w:lineRule="atLeast"/>
        <w:ind w:firstLine="630"/>
        <w:jc w:val="left"/>
        <w:rPr>
          <w:rFonts w:ascii="楷体" w:hAnsi="楷体" w:eastAsia="楷体" w:cs="楷体"/>
          <w:kern w:val="0"/>
          <w:sz w:val="32"/>
          <w:szCs w:val="32"/>
        </w:rPr>
      </w:pPr>
      <w:r>
        <w:rPr>
          <w:rFonts w:ascii="楷体" w:hAnsi="楷体" w:eastAsia="楷体" w:cs="楷体"/>
          <w:b/>
          <w:bCs/>
          <w:kern w:val="0"/>
          <w:sz w:val="32"/>
          <w:szCs w:val="32"/>
        </w:rPr>
        <w:t>（二）当年取得的主要事业成效。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w:t>
      </w:r>
      <w:r>
        <w:rPr>
          <w:rFonts w:hint="eastAsia" w:ascii="楷体_GB2312" w:hAnsi="楷体_GB2312" w:eastAsia="楷体_GB2312" w:cs="楷体_GB2312"/>
          <w:sz w:val="32"/>
          <w:szCs w:val="32"/>
          <w:highlight w:val="none"/>
          <w:lang w:val="en-US" w:eastAsia="zh-CN"/>
        </w:rPr>
        <w:t>强产业、促创新。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杨柑镇火龙果文化体验中心如期完成，现代农业商贸服务基地乡村配套设施建设项目有序推进。充分发挥特色农业优势，拓展“一镇一业 一村一品”，采取“企业+合作社+农户+基地”模式。我镇火龙果种植面积突破3万亩，年产值超过4.8亿元，带动近5000人就业创业，刷亮了“火龙果之乡”的名号。本地番薯、优质水稻、生猪和猴子养殖等基地持续增产提质。同时，我镇农民专业合作社增至67家，家庭农场增至15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优化营商环境，累计投入730多万元，先后完成杨柑市场升级改造和遂溪县杨供农业生产资料专业合作社新建综合商业房屋项目，回收原兽医站12间商铺重新招标规划经营，推动镇区商业结构合理化、规模化发展。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w:t>
      </w:r>
      <w:r>
        <w:rPr>
          <w:rFonts w:hint="eastAsia" w:ascii="楷体_GB2312" w:hAnsi="楷体_GB2312" w:eastAsia="楷体_GB2312" w:cs="楷体_GB2312"/>
          <w:sz w:val="32"/>
          <w:szCs w:val="32"/>
          <w:highlight w:val="none"/>
          <w:lang w:val="en-US" w:eastAsia="zh-CN"/>
        </w:rPr>
        <w:t>美乡村、优环境。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全面开展“道路扩宽拓绿添亮去污”大行动，投入2000多万元，推动省道S290线镇区段路扩宽、镇圩街道“白改黑”、人行道铺彩砖、道路两侧添绿植装路灯等工程实施，实现圩镇街路硬化率从92%提升至98%，亮化率达100%。投入成立城镇管理中队，规划临时停车场和设立路摊集卖点，加强镇圩经营秩序管理。推行“路（街）长制”长效监督闭环机制，将镇区划分成6大卫生责任区，全镇域开展“大扫除”“大整治”专项行动，镇圩乱搭乱建、乱堆乱放、乱摆乱停、乱丢乱扔等“八乱”现象根本好转，群众生产生活环境持续优化，有效营造“美丽圩镇人人参与”的良好氛围。</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30" w:firstLineChars="0"/>
        <w:textAlignment w:val="auto"/>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创平安，稳大局。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深入实施“春风利剑”、“千干百警入户，共话平安遂溪”、常态化扫黑除恶、“八五”普法、</w:t>
      </w:r>
      <w:bookmarkStart w:id="30" w:name="_GoBack"/>
      <w:bookmarkEnd w:id="30"/>
      <w:r>
        <w:rPr>
          <w:rFonts w:hint="eastAsia" w:ascii="仿宋_GB2312" w:hAnsi="仿宋_GB2312" w:eastAsia="仿宋_GB2312" w:cs="仿宋_GB2312"/>
          <w:sz w:val="32"/>
          <w:szCs w:val="32"/>
          <w:highlight w:val="none"/>
          <w:lang w:val="en-US" w:eastAsia="zh-CN"/>
        </w:rPr>
        <w:t>“无毒杨柑”创建等专项行动，常态化组织“一村一辅警”开展夜巡，街面监控全天候全覆盖，实现我镇刑事治安违法犯罪案件持续下降。深入推进社会矛盾问题专项治理，全面开展“平安夜访”，结合“线上联系+线下走访”的调解方式，妥善化解重点个案。今年共化解、办结各类矛盾纠纷信访件、12345诉求件等414件。重拳落实自然资源重点领域整治行动，全年整治违法用地面积98.4亩。发挥综合行政执法队职能作用，依法立案查处涉及卫生健康、住房和城乡建设、自然资源领域案件41宗，罚款金额累计75万多元。</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30" w:firstLineChars="0"/>
        <w:textAlignment w:val="auto"/>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惠民生、增福祉。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严格落实弱势群体救助保障机制，共救助和补贴低保、五保、残疾人、患病“四类”人员、“精残”人员和困难群众等4882人，支出金额约1600多万元。完成10387名60岁以上老人完成生存验证和健康档案建档立卡工作。完成广东省妇女创业小额担保贷款贴息项目600万元，惠及创业妇女79人。持续抓好杨柑敬老院、长者饭堂建设和管理，实现老有所养、老有所乐，目前全镇共有长者饭堂3个，建设经验在县乃至全市推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_GB2312" w:hAnsi="楷体_GB2312" w:eastAsia="楷体_GB2312" w:cs="楷体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贯彻落实国家强农惠农政策，发放2023年地力补贴16430户，共1180多万元。发挥镇农技服务中心作用，解决1.2万多亩农作物病虫害等问题，落实禽畜疫病强制免疫疫苗注射57.29万头。投入资金300多万元兴修水利工程，保障粮食安全。</w:t>
      </w:r>
    </w:p>
    <w:p>
      <w:pPr>
        <w:pStyle w:val="3"/>
        <w:keepNext w:val="0"/>
        <w:keepLines w:val="0"/>
        <w:widowControl/>
        <w:spacing w:before="0" w:line="315" w:lineRule="atLeast"/>
        <w:ind w:firstLine="630"/>
        <w:jc w:val="left"/>
        <w:rPr>
          <w:rFonts w:ascii="黑体" w:hAnsi="黑体" w:eastAsia="黑体" w:cs="黑体"/>
          <w:b w:val="0"/>
          <w:bCs w:val="0"/>
          <w:kern w:val="0"/>
          <w:sz w:val="32"/>
          <w:szCs w:val="32"/>
        </w:rPr>
      </w:pPr>
      <w:r>
        <w:rPr>
          <w:rFonts w:ascii="黑体" w:hAnsi="黑体" w:eastAsia="黑体" w:cs="黑体"/>
          <w:b w:val="0"/>
          <w:bCs w:val="0"/>
          <w:color w:val="auto"/>
          <w:kern w:val="0"/>
          <w:sz w:val="32"/>
          <w:szCs w:val="32"/>
        </w:rPr>
        <w:t>二、收入支出预算执行情况分析</w:t>
      </w:r>
    </w:p>
    <w:p>
      <w:pPr>
        <w:widowControl/>
        <w:spacing w:before="0" w:after="0" w:line="315" w:lineRule="atLeast"/>
        <w:ind w:firstLine="630"/>
        <w:jc w:val="left"/>
        <w:rPr>
          <w:rFonts w:ascii="楷体" w:hAnsi="楷体" w:eastAsia="楷体" w:cs="楷体"/>
          <w:kern w:val="0"/>
          <w:sz w:val="32"/>
          <w:szCs w:val="32"/>
        </w:rPr>
      </w:pPr>
      <w:r>
        <w:rPr>
          <w:rFonts w:ascii="楷体" w:hAnsi="楷体" w:eastAsia="楷体" w:cs="楷体"/>
          <w:b/>
          <w:bCs/>
          <w:kern w:val="0"/>
          <w:sz w:val="32"/>
          <w:szCs w:val="32"/>
        </w:rPr>
        <w:t>（一）收入支出预算安排情况。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2023年本部门收入预算</w:t>
      </w:r>
      <w:bookmarkStart w:id="1" w:name="PO_part3A1Amount1"/>
      <w:r>
        <w:rPr>
          <w:rFonts w:hint="eastAsia" w:ascii="仿宋_GB2312" w:hAnsi="仿宋_GB2312" w:eastAsia="仿宋_GB2312" w:cs="仿宋_GB2312"/>
          <w:sz w:val="32"/>
          <w:szCs w:val="32"/>
          <w:highlight w:val="none"/>
          <w:lang w:val="en-US" w:eastAsia="zh-CN"/>
        </w:rPr>
        <w:t>1742.3</w:t>
      </w:r>
      <w:bookmarkEnd w:id="1"/>
      <w:r>
        <w:rPr>
          <w:rFonts w:hint="eastAsia" w:ascii="仿宋_GB2312" w:hAnsi="仿宋_GB2312" w:eastAsia="仿宋_GB2312" w:cs="仿宋_GB2312"/>
          <w:sz w:val="32"/>
          <w:szCs w:val="32"/>
          <w:highlight w:val="none"/>
          <w:lang w:val="en-US" w:eastAsia="zh-CN"/>
        </w:rPr>
        <w:t>万元，比上年</w:t>
      </w:r>
      <w:bookmarkStart w:id="2" w:name="PO_part3A1IncAmount1"/>
      <w:r>
        <w:rPr>
          <w:rFonts w:hint="eastAsia" w:ascii="仿宋_GB2312" w:hAnsi="仿宋_GB2312" w:eastAsia="仿宋_GB2312" w:cs="仿宋_GB2312"/>
          <w:sz w:val="32"/>
          <w:szCs w:val="32"/>
          <w:highlight w:val="none"/>
          <w:lang w:val="en-US" w:eastAsia="zh-CN"/>
        </w:rPr>
        <w:t>减少186.68</w:t>
      </w:r>
      <w:bookmarkEnd w:id="2"/>
      <w:r>
        <w:rPr>
          <w:rFonts w:hint="eastAsia" w:ascii="仿宋_GB2312" w:hAnsi="仿宋_GB2312" w:eastAsia="仿宋_GB2312" w:cs="仿宋_GB2312"/>
          <w:sz w:val="32"/>
          <w:szCs w:val="32"/>
          <w:highlight w:val="none"/>
          <w:lang w:val="en-US" w:eastAsia="zh-CN"/>
        </w:rPr>
        <w:t>万元，</w:t>
      </w:r>
      <w:bookmarkStart w:id="3" w:name="PO_part3A1IncPercent1"/>
      <w:r>
        <w:rPr>
          <w:rFonts w:hint="eastAsia" w:ascii="仿宋_GB2312" w:hAnsi="仿宋_GB2312" w:eastAsia="仿宋_GB2312" w:cs="仿宋_GB2312"/>
          <w:sz w:val="32"/>
          <w:szCs w:val="32"/>
          <w:highlight w:val="none"/>
          <w:lang w:val="en-US" w:eastAsia="zh-CN"/>
        </w:rPr>
        <w:t>下降9.7</w:t>
      </w:r>
      <w:bookmarkEnd w:id="3"/>
      <w:r>
        <w:rPr>
          <w:rFonts w:hint="eastAsia" w:ascii="仿宋_GB2312" w:hAnsi="仿宋_GB2312" w:eastAsia="仿宋_GB2312" w:cs="仿宋_GB2312"/>
          <w:sz w:val="32"/>
          <w:szCs w:val="32"/>
          <w:highlight w:val="none"/>
          <w:lang w:val="en-US" w:eastAsia="zh-CN"/>
        </w:rPr>
        <w:t xml:space="preserve"> %，主要原因是</w:t>
      </w:r>
      <w:bookmarkStart w:id="4" w:name="PO_part3A1IncReason1"/>
      <w:r>
        <w:rPr>
          <w:rFonts w:hint="eastAsia" w:ascii="仿宋_GB2312" w:hAnsi="仿宋_GB2312" w:eastAsia="仿宋_GB2312" w:cs="仿宋_GB2312"/>
          <w:sz w:val="32"/>
          <w:szCs w:val="32"/>
          <w:highlight w:val="none"/>
          <w:lang w:val="en-US" w:eastAsia="zh-CN"/>
        </w:rPr>
        <w:t>一般公共服务支出减少</w:t>
      </w:r>
      <w:bookmarkEnd w:id="4"/>
      <w:r>
        <w:rPr>
          <w:rFonts w:hint="eastAsia" w:ascii="仿宋_GB2312" w:hAnsi="仿宋_GB2312" w:eastAsia="仿宋_GB2312" w:cs="仿宋_GB2312"/>
          <w:sz w:val="32"/>
          <w:szCs w:val="32"/>
          <w:highlight w:val="none"/>
          <w:lang w:val="en-US" w:eastAsia="zh-CN"/>
        </w:rPr>
        <w:t>；支出预算</w:t>
      </w:r>
      <w:bookmarkStart w:id="5" w:name="PO_part3A1Amount2"/>
      <w:r>
        <w:rPr>
          <w:rFonts w:hint="eastAsia" w:ascii="仿宋_GB2312" w:hAnsi="仿宋_GB2312" w:eastAsia="仿宋_GB2312" w:cs="仿宋_GB2312"/>
          <w:sz w:val="32"/>
          <w:szCs w:val="32"/>
          <w:highlight w:val="none"/>
          <w:lang w:val="en-US" w:eastAsia="zh-CN"/>
        </w:rPr>
        <w:t xml:space="preserve"> 1742.3</w:t>
      </w:r>
      <w:bookmarkEnd w:id="5"/>
      <w:r>
        <w:rPr>
          <w:rFonts w:hint="eastAsia" w:ascii="仿宋_GB2312" w:hAnsi="仿宋_GB2312" w:eastAsia="仿宋_GB2312" w:cs="仿宋_GB2312"/>
          <w:sz w:val="32"/>
          <w:szCs w:val="32"/>
          <w:highlight w:val="none"/>
          <w:lang w:val="en-US" w:eastAsia="zh-CN"/>
        </w:rPr>
        <w:t xml:space="preserve"> 万元，比上年</w:t>
      </w:r>
      <w:bookmarkStart w:id="6" w:name="PO_part3A1IncAmount2"/>
      <w:r>
        <w:rPr>
          <w:rFonts w:hint="eastAsia" w:ascii="仿宋_GB2312" w:hAnsi="仿宋_GB2312" w:eastAsia="仿宋_GB2312" w:cs="仿宋_GB2312"/>
          <w:sz w:val="32"/>
          <w:szCs w:val="32"/>
          <w:highlight w:val="none"/>
          <w:lang w:val="en-US" w:eastAsia="zh-CN"/>
        </w:rPr>
        <w:t>减少 186.68</w:t>
      </w:r>
      <w:bookmarkEnd w:id="6"/>
      <w:r>
        <w:rPr>
          <w:rFonts w:hint="eastAsia" w:ascii="仿宋_GB2312" w:hAnsi="仿宋_GB2312" w:eastAsia="仿宋_GB2312" w:cs="仿宋_GB2312"/>
          <w:sz w:val="32"/>
          <w:szCs w:val="32"/>
          <w:highlight w:val="none"/>
          <w:lang w:val="en-US" w:eastAsia="zh-CN"/>
        </w:rPr>
        <w:t xml:space="preserve"> 万元，</w:t>
      </w:r>
      <w:bookmarkStart w:id="7" w:name="PO_part3A1IncPercent2"/>
      <w:r>
        <w:rPr>
          <w:rFonts w:hint="eastAsia" w:ascii="仿宋_GB2312" w:hAnsi="仿宋_GB2312" w:eastAsia="仿宋_GB2312" w:cs="仿宋_GB2312"/>
          <w:sz w:val="32"/>
          <w:szCs w:val="32"/>
          <w:highlight w:val="none"/>
          <w:lang w:val="en-US" w:eastAsia="zh-CN"/>
        </w:rPr>
        <w:t>下降 9.7</w:t>
      </w:r>
      <w:bookmarkEnd w:id="7"/>
      <w:r>
        <w:rPr>
          <w:rFonts w:hint="eastAsia" w:ascii="仿宋_GB2312" w:hAnsi="仿宋_GB2312" w:eastAsia="仿宋_GB2312" w:cs="仿宋_GB2312"/>
          <w:sz w:val="32"/>
          <w:szCs w:val="32"/>
          <w:highlight w:val="none"/>
          <w:lang w:val="en-US" w:eastAsia="zh-CN"/>
        </w:rPr>
        <w:t xml:space="preserve"> %，主要原因是</w:t>
      </w:r>
      <w:bookmarkStart w:id="8" w:name="PO_part3A1IncReason2"/>
      <w:r>
        <w:rPr>
          <w:rFonts w:hint="eastAsia" w:ascii="仿宋_GB2312" w:hAnsi="仿宋_GB2312" w:eastAsia="仿宋_GB2312" w:cs="仿宋_GB2312"/>
          <w:sz w:val="32"/>
          <w:szCs w:val="32"/>
          <w:highlight w:val="none"/>
          <w:lang w:val="en-US" w:eastAsia="zh-CN"/>
        </w:rPr>
        <w:t>一般公共服务支出减少</w:t>
      </w:r>
      <w:bookmarkEnd w:id="8"/>
      <w:r>
        <w:rPr>
          <w:rFonts w:hint="eastAsia" w:ascii="仿宋_GB2312" w:hAnsi="仿宋_GB2312" w:eastAsia="仿宋_GB2312" w:cs="仿宋_GB2312"/>
          <w:sz w:val="32"/>
          <w:szCs w:val="32"/>
          <w:highlight w:val="none"/>
          <w:lang w:val="en-US" w:eastAsia="zh-CN"/>
        </w:rPr>
        <w:t>。</w:t>
      </w:r>
    </w:p>
    <w:p>
      <w:pPr>
        <w:widowControl/>
        <w:spacing w:before="0" w:after="0" w:line="315" w:lineRule="atLeast"/>
        <w:ind w:firstLine="630"/>
        <w:jc w:val="left"/>
        <w:rPr>
          <w:rFonts w:ascii="楷体" w:hAnsi="楷体" w:eastAsia="楷体" w:cs="楷体"/>
          <w:kern w:val="0"/>
          <w:sz w:val="32"/>
          <w:szCs w:val="32"/>
        </w:rPr>
      </w:pPr>
      <w:r>
        <w:rPr>
          <w:rFonts w:ascii="楷体" w:hAnsi="楷体" w:eastAsia="楷体" w:cs="楷体"/>
          <w:b/>
          <w:bCs/>
          <w:kern w:val="0"/>
          <w:sz w:val="32"/>
          <w:szCs w:val="32"/>
        </w:rPr>
        <w:t>（二）收入支出预算执行情况。</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b/>
          <w:bCs/>
          <w:kern w:val="0"/>
          <w:sz w:val="32"/>
          <w:szCs w:val="32"/>
        </w:rPr>
        <w:t>1．收入支出与预算对比分析。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一般公共预算财政拨款收入年初预算数为17,423,041.00元，决算数为16,027,616.69元，差额为1395424.31元；政府性基金预算财政拨款收入年初预算数为0.00元，决算数为34,095,543.00元，差额为34,095,543.00元；其他收入年初预算数为0.00元，决算数为11,081,063.06元，差额为11,081,063.06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基本支出年初预算数为14,246,002.00元，其中人员经费13,746,002.00元，公用经费500,000.00元，决算数为34,635,804.29元，其中人员经费16,959,964.76元，公用经费17,675,839.53元；项目支出年初预算数为3,177,039.00元，决算数为25,721,374.12元。</w:t>
      </w:r>
    </w:p>
    <w:p>
      <w:pPr>
        <w:widowControl/>
        <w:numPr>
          <w:ilvl w:val="0"/>
          <w:numId w:val="2"/>
        </w:numPr>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差异原因分析。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本年收入共计61,204,222.75元，比上年度增加15,896,354.05元，增幅35.09%，其中一般公共预算财政拨款收入决算数为16,027,616.69元，增幅4.70%，主要原因是我镇日常发展维护需要，开展遂溪县第一届火龙果文化周等；政府性基金预算财政拨款决算数为34,095,543.00元，增幅13.65%，主要原因是建设杨柑镇现代农业商贸服务基地及乡村配套设施建设项目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本年支出共计60,357,178.41元，比上年度增加15,049,309.71元，增幅33.22%。</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本年基本支出共计34,635,804.29元，比上年度增加19,327,935.59元，增幅126.26%，其中人员经费16,959,964.76元，比上年度增加5,860,947.48元，增幅52.81%，主要原因是我镇日常发展维护需要，开展遂溪县第一届火龙果文化周等；公用经费17,675,839.53元，比上年度增加13,466,988.11元，增幅319.97%，主要原因是新建基建项目需要，杨柑镇现代农业商贸服务基地及乡村配套设施建设项目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本年项目支出共计25,721,374.12元，比上年度减少4,278,625.88元，降幅14.26%，主要原因是建设杨柑镇现代农业商贸服务基地及乡村配套设施建设项目等，比上年所需项目经费减少。</w:t>
      </w:r>
    </w:p>
    <w:p>
      <w:pPr>
        <w:widowControl/>
        <w:numPr>
          <w:ilvl w:val="0"/>
          <w:numId w:val="3"/>
        </w:numPr>
        <w:spacing w:before="0" w:after="0" w:line="315" w:lineRule="atLeast"/>
        <w:ind w:firstLine="630"/>
        <w:jc w:val="left"/>
        <w:rPr>
          <w:rFonts w:ascii="仿宋" w:hAnsi="仿宋" w:eastAsia="仿宋" w:cs="仿宋"/>
          <w:b/>
          <w:bCs/>
          <w:kern w:val="0"/>
          <w:sz w:val="32"/>
          <w:szCs w:val="32"/>
        </w:rPr>
      </w:pPr>
      <w:r>
        <w:rPr>
          <w:rFonts w:ascii="仿宋" w:hAnsi="仿宋" w:eastAsia="仿宋" w:cs="仿宋"/>
          <w:b/>
          <w:bCs/>
          <w:kern w:val="0"/>
          <w:sz w:val="32"/>
          <w:szCs w:val="32"/>
        </w:rPr>
        <w:t>收入支出结构分析。</w:t>
      </w:r>
    </w:p>
    <w:p>
      <w:pPr>
        <w:widowControl/>
        <w:numPr>
          <w:ilvl w:val="0"/>
          <w:numId w:val="0"/>
        </w:numPr>
        <w:spacing w:before="0" w:after="0" w:line="315" w:lineRule="atLeast"/>
        <w:jc w:val="left"/>
        <w:rPr>
          <w:rFonts w:hint="eastAsia" w:ascii="仿宋" w:hAnsi="仿宋" w:eastAsia="仿宋" w:cs="仿宋"/>
          <w:b w:val="0"/>
          <w:bCs w:val="0"/>
          <w:kern w:val="0"/>
          <w:sz w:val="32"/>
          <w:szCs w:val="32"/>
          <w:lang w:eastAsia="zh-CN"/>
        </w:rPr>
      </w:pPr>
      <w:r>
        <w:rPr>
          <w:rFonts w:hint="eastAsia" w:ascii="仿宋" w:hAnsi="仿宋" w:eastAsia="仿宋" w:cs="仿宋"/>
          <w:b w:val="0"/>
          <w:bCs w:val="0"/>
          <w:kern w:val="0"/>
          <w:sz w:val="32"/>
          <w:szCs w:val="32"/>
          <w:lang w:eastAsia="zh-CN"/>
        </w:rPr>
        <w:t>（</w:t>
      </w:r>
      <w:r>
        <w:rPr>
          <w:rFonts w:hint="eastAsia" w:ascii="仿宋" w:hAnsi="仿宋" w:eastAsia="仿宋" w:cs="仿宋"/>
          <w:b w:val="0"/>
          <w:bCs w:val="0"/>
          <w:kern w:val="0"/>
          <w:sz w:val="32"/>
          <w:szCs w:val="32"/>
          <w:lang w:val="en-US" w:eastAsia="zh-CN"/>
        </w:rPr>
        <w:t>1</w:t>
      </w:r>
      <w:r>
        <w:rPr>
          <w:rFonts w:hint="eastAsia" w:ascii="仿宋" w:hAnsi="仿宋" w:eastAsia="仿宋" w:cs="仿宋"/>
          <w:b w:val="0"/>
          <w:bCs w:val="0"/>
          <w:kern w:val="0"/>
          <w:sz w:val="32"/>
          <w:szCs w:val="32"/>
          <w:lang w:eastAsia="zh-CN"/>
        </w:rPr>
        <w:t>）收入决算表</w:t>
      </w:r>
    </w:p>
    <w:tbl>
      <w:tblPr>
        <w:tblStyle w:val="4"/>
        <w:tblW w:w="90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2"/>
        <w:gridCol w:w="512"/>
        <w:gridCol w:w="535"/>
        <w:gridCol w:w="2975"/>
        <w:gridCol w:w="2712"/>
        <w:gridCol w:w="1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6" w:hRule="atLeast"/>
        </w:trPr>
        <w:tc>
          <w:tcPr>
            <w:tcW w:w="4534"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项目</w:t>
            </w:r>
          </w:p>
        </w:tc>
        <w:tc>
          <w:tcPr>
            <w:tcW w:w="2712" w:type="dxa"/>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本年收入合计</w:t>
            </w:r>
          </w:p>
        </w:tc>
        <w:tc>
          <w:tcPr>
            <w:tcW w:w="1819" w:type="dxa"/>
            <w:vMerge w:val="restart"/>
            <w:tcBorders>
              <w:top w:val="single" w:color="000000" w:sz="4" w:space="0"/>
              <w:left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eastAsia" w:ascii="Calibri" w:hAnsi="Calibri" w:eastAsia="宋体" w:cs="Calibri"/>
                <w:i w:val="0"/>
                <w:iCs w:val="0"/>
                <w:color w:val="000000"/>
                <w:kern w:val="0"/>
                <w:sz w:val="22"/>
                <w:szCs w:val="22"/>
                <w:u w:val="none"/>
                <w:lang w:val="en-US" w:eastAsia="zh-CN" w:bidi="ar"/>
              </w:rPr>
              <w:t>占比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41"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支出功能分类科目代码</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科目名称</w:t>
            </w:r>
          </w:p>
        </w:tc>
        <w:tc>
          <w:tcPr>
            <w:tcW w:w="2712" w:type="dxa"/>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000000"/>
                <w:sz w:val="22"/>
                <w:szCs w:val="22"/>
                <w:u w:val="none"/>
              </w:rPr>
            </w:pPr>
          </w:p>
        </w:tc>
        <w:tc>
          <w:tcPr>
            <w:tcW w:w="1819" w:type="dxa"/>
            <w:vMerge w:val="continue"/>
            <w:tcBorders>
              <w:left w:val="nil"/>
              <w:right w:val="single" w:color="000000" w:sz="4" w:space="0"/>
            </w:tcBorders>
            <w:shd w:val="clear" w:color="auto" w:fill="auto"/>
            <w:noWrap/>
            <w:vAlign w:val="center"/>
          </w:tcPr>
          <w:p>
            <w:pPr>
              <w:jc w:val="center"/>
              <w:rPr>
                <w:rFonts w:hint="default" w:ascii="Calibri" w:hAnsi="Calibri" w:eastAsia="宋体"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6" w:hRule="atLeast"/>
        </w:trPr>
        <w:tc>
          <w:tcPr>
            <w:tcW w:w="512" w:type="dxa"/>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类</w:t>
            </w:r>
          </w:p>
        </w:tc>
        <w:tc>
          <w:tcPr>
            <w:tcW w:w="512" w:type="dxa"/>
            <w:vMerge w:val="restar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款</w:t>
            </w:r>
          </w:p>
        </w:tc>
        <w:tc>
          <w:tcPr>
            <w:tcW w:w="535" w:type="dxa"/>
            <w:vMerge w:val="restar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项</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栏        次</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w:t>
            </w:r>
          </w:p>
        </w:tc>
        <w:tc>
          <w:tcPr>
            <w:tcW w:w="1819" w:type="dxa"/>
            <w:vMerge w:val="continue"/>
            <w:tcBorders>
              <w:left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6" w:hRule="atLeast"/>
        </w:trPr>
        <w:tc>
          <w:tcPr>
            <w:tcW w:w="512" w:type="dxa"/>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000000"/>
                <w:sz w:val="22"/>
                <w:szCs w:val="22"/>
                <w:u w:val="none"/>
              </w:rPr>
            </w:pPr>
          </w:p>
        </w:tc>
        <w:tc>
          <w:tcPr>
            <w:tcW w:w="512" w:type="dxa"/>
            <w:vMerge w:val="continue"/>
            <w:tcBorders>
              <w:top w:val="nil"/>
              <w:left w:val="nil"/>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000000"/>
                <w:sz w:val="22"/>
                <w:szCs w:val="22"/>
                <w:u w:val="none"/>
              </w:rPr>
            </w:pPr>
          </w:p>
        </w:tc>
        <w:tc>
          <w:tcPr>
            <w:tcW w:w="535" w:type="dxa"/>
            <w:vMerge w:val="continue"/>
            <w:tcBorders>
              <w:top w:val="nil"/>
              <w:left w:val="nil"/>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000000"/>
                <w:sz w:val="22"/>
                <w:szCs w:val="22"/>
                <w:u w:val="none"/>
              </w:rPr>
            </w:pP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合计</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61,204,222.75</w:t>
            </w:r>
          </w:p>
        </w:tc>
        <w:tc>
          <w:tcPr>
            <w:tcW w:w="1819" w:type="dxa"/>
            <w:vMerge w:val="continue"/>
            <w:tcBorders>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6"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201</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一般公共服务支出</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24,234,171.34</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41"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20103</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政府办公厅（室）及相关机构事务</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23,834,171.34</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2010301</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行政运行</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12,718,669.00</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41"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2010399</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其他政府办公厅（室）及相关机构事务支出</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11,115,502.34</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6"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20199</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其他一般公共服务支出</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400,000.00</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6"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2019999</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其他一般公共服务支出</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400,000.00</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6"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207</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文化旅游体育与传媒支出</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148,539.00</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6"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20701</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文化和旅游</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148,539.00</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6"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2070199</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其他文化和旅游支出</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148,539.00</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6"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208</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社会保障和就业支出</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1,497,573.57</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6"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20805</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行政事业单位养老支出</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1,497,573.57</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6"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2080501</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行政单位离退休</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1,060,213.57</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6"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2080502</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事业单位离退休</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437,360.00</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6"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212</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城乡社区支出</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10,268,378.12</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1"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21208</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国有土地使用权出让收入安排的支出</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9,095,543.00</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6"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2120801</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征地和拆迁补偿支出</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9,095,543.00</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6"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21299</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其他城乡社区支出</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1,172,835.12</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6"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2129999</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其他城乡社区支出</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1,172,835.12</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6"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224</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灾害防治及应急管理支出</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52,500.00</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6"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22402</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消防救援事务</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52,500.00</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6"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2240204</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消防应急救援</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52,500.00</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6"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229</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其他支出</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25,003,060.72</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41"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22904</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其他政府性基金及对应专项债务收入安排的支出</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25,003,060.72</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52" w:hRule="atLeast"/>
        </w:trPr>
        <w:tc>
          <w:tcPr>
            <w:tcW w:w="1559"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2290402</w:t>
            </w:r>
          </w:p>
        </w:tc>
        <w:tc>
          <w:tcPr>
            <w:tcW w:w="2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其他地方自行试点项目收益专项债券收入安排的支出</w:t>
            </w:r>
          </w:p>
        </w:tc>
        <w:tc>
          <w:tcPr>
            <w:tcW w:w="2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25,003,060.72</w:t>
            </w:r>
          </w:p>
        </w:tc>
        <w:tc>
          <w:tcPr>
            <w:tcW w:w="1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40.85%</w:t>
            </w:r>
          </w:p>
        </w:tc>
      </w:tr>
    </w:tbl>
    <w:p>
      <w:pPr>
        <w:widowControl/>
        <w:spacing w:before="0" w:after="0" w:line="315" w:lineRule="atLeast"/>
        <w:ind w:firstLine="630"/>
        <w:jc w:val="left"/>
        <w:rPr>
          <w:rFonts w:hint="eastAsia" w:ascii="仿宋" w:hAnsi="仿宋" w:eastAsia="仿宋" w:cs="仿宋"/>
          <w:kern w:val="0"/>
          <w:sz w:val="32"/>
          <w:szCs w:val="32"/>
          <w:lang w:eastAsia="zh-CN"/>
        </w:rPr>
      </w:pPr>
    </w:p>
    <w:p>
      <w:pPr>
        <w:widowControl/>
        <w:numPr>
          <w:ilvl w:val="0"/>
          <w:numId w:val="0"/>
        </w:numPr>
        <w:spacing w:before="0" w:after="0" w:line="315" w:lineRule="atLeast"/>
        <w:jc w:val="left"/>
        <w:rPr>
          <w:rFonts w:hint="eastAsia" w:ascii="仿宋" w:hAnsi="仿宋" w:eastAsia="仿宋" w:cs="仿宋"/>
          <w:b w:val="0"/>
          <w:bCs w:val="0"/>
          <w:kern w:val="0"/>
          <w:sz w:val="32"/>
          <w:szCs w:val="32"/>
          <w:lang w:eastAsia="zh-CN"/>
        </w:rPr>
      </w:pPr>
      <w:r>
        <w:rPr>
          <w:rFonts w:hint="eastAsia" w:ascii="仿宋" w:hAnsi="仿宋" w:eastAsia="仿宋" w:cs="仿宋"/>
          <w:b w:val="0"/>
          <w:bCs w:val="0"/>
          <w:kern w:val="0"/>
          <w:sz w:val="32"/>
          <w:szCs w:val="32"/>
          <w:lang w:eastAsia="zh-CN"/>
        </w:rPr>
        <w:t>（</w:t>
      </w:r>
      <w:r>
        <w:rPr>
          <w:rFonts w:hint="eastAsia" w:ascii="仿宋" w:hAnsi="仿宋" w:eastAsia="仿宋" w:cs="仿宋"/>
          <w:b w:val="0"/>
          <w:bCs w:val="0"/>
          <w:kern w:val="0"/>
          <w:sz w:val="32"/>
          <w:szCs w:val="32"/>
          <w:lang w:val="en-US" w:eastAsia="zh-CN"/>
        </w:rPr>
        <w:t>2</w:t>
      </w:r>
      <w:r>
        <w:rPr>
          <w:rFonts w:hint="eastAsia" w:ascii="仿宋" w:hAnsi="仿宋" w:eastAsia="仿宋" w:cs="仿宋"/>
          <w:b w:val="0"/>
          <w:bCs w:val="0"/>
          <w:kern w:val="0"/>
          <w:sz w:val="32"/>
          <w:szCs w:val="32"/>
          <w:lang w:eastAsia="zh-CN"/>
        </w:rPr>
        <w:t>）支出决算表</w:t>
      </w:r>
    </w:p>
    <w:tbl>
      <w:tblPr>
        <w:tblStyle w:val="4"/>
        <w:tblW w:w="907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8"/>
        <w:gridCol w:w="397"/>
        <w:gridCol w:w="379"/>
        <w:gridCol w:w="1793"/>
        <w:gridCol w:w="2086"/>
        <w:gridCol w:w="1863"/>
        <w:gridCol w:w="21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5" w:hRule="atLeast"/>
        </w:trPr>
        <w:tc>
          <w:tcPr>
            <w:tcW w:w="298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项目</w:t>
            </w:r>
          </w:p>
        </w:tc>
        <w:tc>
          <w:tcPr>
            <w:tcW w:w="2086" w:type="dxa"/>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本年支出合计</w:t>
            </w:r>
          </w:p>
        </w:tc>
        <w:tc>
          <w:tcPr>
            <w:tcW w:w="1863" w:type="dxa"/>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基本支出</w:t>
            </w:r>
          </w:p>
        </w:tc>
        <w:tc>
          <w:tcPr>
            <w:tcW w:w="2137" w:type="dxa"/>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0" w:hRule="atLeast"/>
        </w:trPr>
        <w:tc>
          <w:tcPr>
            <w:tcW w:w="1194" w:type="dxa"/>
            <w:gridSpan w:val="3"/>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支出功能分类科目代码</w:t>
            </w:r>
          </w:p>
        </w:tc>
        <w:tc>
          <w:tcPr>
            <w:tcW w:w="1793" w:type="dxa"/>
            <w:vMerge w:val="restar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科目名称</w:t>
            </w:r>
          </w:p>
        </w:tc>
        <w:tc>
          <w:tcPr>
            <w:tcW w:w="2086" w:type="dxa"/>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000000"/>
                <w:sz w:val="22"/>
                <w:szCs w:val="22"/>
                <w:u w:val="none"/>
              </w:rPr>
            </w:pPr>
          </w:p>
        </w:tc>
        <w:tc>
          <w:tcPr>
            <w:tcW w:w="1863" w:type="dxa"/>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000000"/>
                <w:sz w:val="22"/>
                <w:szCs w:val="22"/>
                <w:u w:val="none"/>
              </w:rPr>
            </w:pPr>
          </w:p>
        </w:tc>
        <w:tc>
          <w:tcPr>
            <w:tcW w:w="2137" w:type="dxa"/>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0" w:hRule="atLeast"/>
        </w:trPr>
        <w:tc>
          <w:tcPr>
            <w:tcW w:w="1194" w:type="dxa"/>
            <w:gridSpan w:val="3"/>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000000"/>
                <w:sz w:val="22"/>
                <w:szCs w:val="22"/>
                <w:u w:val="none"/>
              </w:rPr>
            </w:pPr>
          </w:p>
        </w:tc>
        <w:tc>
          <w:tcPr>
            <w:tcW w:w="1793" w:type="dxa"/>
            <w:vMerge w:val="continue"/>
            <w:tcBorders>
              <w:top w:val="nil"/>
              <w:left w:val="nil"/>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000000"/>
                <w:sz w:val="22"/>
                <w:szCs w:val="22"/>
                <w:u w:val="none"/>
              </w:rPr>
            </w:pPr>
          </w:p>
        </w:tc>
        <w:tc>
          <w:tcPr>
            <w:tcW w:w="2086" w:type="dxa"/>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000000"/>
                <w:sz w:val="22"/>
                <w:szCs w:val="22"/>
                <w:u w:val="none"/>
              </w:rPr>
            </w:pPr>
          </w:p>
        </w:tc>
        <w:tc>
          <w:tcPr>
            <w:tcW w:w="1863" w:type="dxa"/>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000000"/>
                <w:sz w:val="22"/>
                <w:szCs w:val="22"/>
                <w:u w:val="none"/>
              </w:rPr>
            </w:pPr>
          </w:p>
        </w:tc>
        <w:tc>
          <w:tcPr>
            <w:tcW w:w="2137" w:type="dxa"/>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10" w:hRule="atLeast"/>
        </w:trPr>
        <w:tc>
          <w:tcPr>
            <w:tcW w:w="1194" w:type="dxa"/>
            <w:gridSpan w:val="3"/>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000000"/>
                <w:sz w:val="22"/>
                <w:szCs w:val="22"/>
                <w:u w:val="none"/>
              </w:rPr>
            </w:pPr>
          </w:p>
        </w:tc>
        <w:tc>
          <w:tcPr>
            <w:tcW w:w="1793" w:type="dxa"/>
            <w:vMerge w:val="continue"/>
            <w:tcBorders>
              <w:top w:val="nil"/>
              <w:left w:val="nil"/>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000000"/>
                <w:sz w:val="22"/>
                <w:szCs w:val="22"/>
                <w:u w:val="none"/>
              </w:rPr>
            </w:pPr>
          </w:p>
        </w:tc>
        <w:tc>
          <w:tcPr>
            <w:tcW w:w="2086" w:type="dxa"/>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000000"/>
                <w:sz w:val="22"/>
                <w:szCs w:val="22"/>
                <w:u w:val="none"/>
              </w:rPr>
            </w:pPr>
          </w:p>
        </w:tc>
        <w:tc>
          <w:tcPr>
            <w:tcW w:w="1863" w:type="dxa"/>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000000"/>
                <w:sz w:val="22"/>
                <w:szCs w:val="22"/>
                <w:u w:val="none"/>
              </w:rPr>
            </w:pPr>
          </w:p>
        </w:tc>
        <w:tc>
          <w:tcPr>
            <w:tcW w:w="2137" w:type="dxa"/>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5" w:hRule="atLeast"/>
        </w:trPr>
        <w:tc>
          <w:tcPr>
            <w:tcW w:w="418" w:type="dxa"/>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类</w:t>
            </w:r>
          </w:p>
        </w:tc>
        <w:tc>
          <w:tcPr>
            <w:tcW w:w="397" w:type="dxa"/>
            <w:vMerge w:val="restar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款</w:t>
            </w:r>
          </w:p>
        </w:tc>
        <w:tc>
          <w:tcPr>
            <w:tcW w:w="379" w:type="dxa"/>
            <w:vMerge w:val="restar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项</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栏     次</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w:t>
            </w:r>
          </w:p>
        </w:tc>
        <w:tc>
          <w:tcPr>
            <w:tcW w:w="21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5" w:hRule="atLeast"/>
        </w:trPr>
        <w:tc>
          <w:tcPr>
            <w:tcW w:w="418" w:type="dxa"/>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000000"/>
                <w:sz w:val="22"/>
                <w:szCs w:val="22"/>
                <w:u w:val="none"/>
              </w:rPr>
            </w:pPr>
          </w:p>
        </w:tc>
        <w:tc>
          <w:tcPr>
            <w:tcW w:w="397" w:type="dxa"/>
            <w:vMerge w:val="continue"/>
            <w:tcBorders>
              <w:top w:val="nil"/>
              <w:left w:val="nil"/>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000000"/>
                <w:sz w:val="22"/>
                <w:szCs w:val="22"/>
                <w:u w:val="none"/>
              </w:rPr>
            </w:pPr>
          </w:p>
        </w:tc>
        <w:tc>
          <w:tcPr>
            <w:tcW w:w="379" w:type="dxa"/>
            <w:vMerge w:val="continue"/>
            <w:tcBorders>
              <w:top w:val="nil"/>
              <w:left w:val="nil"/>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000000"/>
                <w:sz w:val="22"/>
                <w:szCs w:val="22"/>
                <w:u w:val="none"/>
              </w:rPr>
            </w:pP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合计</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60,357,178.41</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34,635,804.29</w:t>
            </w:r>
          </w:p>
        </w:tc>
        <w:tc>
          <w:tcPr>
            <w:tcW w:w="21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25,721,374.12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29"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201</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一般公共服务支出</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23,387,128.34</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23,387,128.34</w:t>
            </w:r>
          </w:p>
        </w:tc>
        <w:tc>
          <w:tcPr>
            <w:tcW w:w="2137" w:type="dxa"/>
            <w:tcBorders>
              <w:top w:val="nil"/>
              <w:left w:val="nil"/>
              <w:bottom w:val="single" w:color="000000" w:sz="4" w:space="0"/>
              <w:right w:val="single" w:color="000000" w:sz="4" w:space="0"/>
            </w:tcBorders>
            <w:shd w:val="clear" w:color="auto" w:fill="auto"/>
            <w:noWrap/>
            <w:vAlign w:val="center"/>
          </w:tcPr>
          <w:p>
            <w:pPr>
              <w:jc w:val="right"/>
              <w:rPr>
                <w:rFonts w:hint="default" w:ascii="Calibri" w:hAnsi="Calibri" w:eastAsia="宋体"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29"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20103</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政府办公厅（室）及相关机构事务</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22,987,128.34</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22,987,128.34</w:t>
            </w:r>
          </w:p>
        </w:tc>
        <w:tc>
          <w:tcPr>
            <w:tcW w:w="2137" w:type="dxa"/>
            <w:tcBorders>
              <w:top w:val="nil"/>
              <w:left w:val="nil"/>
              <w:bottom w:val="single" w:color="000000" w:sz="4" w:space="0"/>
              <w:right w:val="single" w:color="000000" w:sz="4" w:space="0"/>
            </w:tcBorders>
            <w:shd w:val="clear" w:color="auto" w:fill="auto"/>
            <w:noWrap/>
            <w:vAlign w:val="center"/>
          </w:tcPr>
          <w:p>
            <w:pPr>
              <w:jc w:val="right"/>
              <w:rPr>
                <w:rFonts w:hint="default" w:ascii="Calibri" w:hAnsi="Calibri" w:eastAsia="宋体"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29"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2010301</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行政运行</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12,718,669.00</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12,718,669.00</w:t>
            </w:r>
          </w:p>
        </w:tc>
        <w:tc>
          <w:tcPr>
            <w:tcW w:w="2137" w:type="dxa"/>
            <w:tcBorders>
              <w:top w:val="nil"/>
              <w:left w:val="nil"/>
              <w:bottom w:val="single" w:color="000000" w:sz="4" w:space="0"/>
              <w:right w:val="single" w:color="000000" w:sz="4" w:space="0"/>
            </w:tcBorders>
            <w:shd w:val="clear" w:color="auto" w:fill="auto"/>
            <w:noWrap/>
            <w:vAlign w:val="center"/>
          </w:tcPr>
          <w:p>
            <w:pPr>
              <w:jc w:val="right"/>
              <w:rPr>
                <w:rFonts w:hint="default" w:ascii="Calibri" w:hAnsi="Calibri" w:eastAsia="宋体"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939"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2010399</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其他政府办公厅（室）及相关机构事务支出</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10,268,459.34</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10,268,459.34</w:t>
            </w:r>
          </w:p>
        </w:tc>
        <w:tc>
          <w:tcPr>
            <w:tcW w:w="2137" w:type="dxa"/>
            <w:tcBorders>
              <w:top w:val="nil"/>
              <w:left w:val="nil"/>
              <w:bottom w:val="single" w:color="000000" w:sz="4" w:space="0"/>
              <w:right w:val="single" w:color="000000" w:sz="4" w:space="0"/>
            </w:tcBorders>
            <w:shd w:val="clear" w:color="auto" w:fill="auto"/>
            <w:noWrap/>
            <w:vAlign w:val="center"/>
          </w:tcPr>
          <w:p>
            <w:pPr>
              <w:jc w:val="right"/>
              <w:rPr>
                <w:rFonts w:hint="default" w:ascii="Calibri" w:hAnsi="Calibri" w:eastAsia="宋体"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9"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20199</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其他一般公共服务支出</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400,000.00</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400,000.00</w:t>
            </w:r>
          </w:p>
        </w:tc>
        <w:tc>
          <w:tcPr>
            <w:tcW w:w="2137" w:type="dxa"/>
            <w:tcBorders>
              <w:top w:val="nil"/>
              <w:left w:val="nil"/>
              <w:bottom w:val="single" w:color="000000" w:sz="4" w:space="0"/>
              <w:right w:val="single" w:color="000000" w:sz="4" w:space="0"/>
            </w:tcBorders>
            <w:shd w:val="clear" w:color="auto" w:fill="auto"/>
            <w:noWrap/>
            <w:vAlign w:val="center"/>
          </w:tcPr>
          <w:p>
            <w:pPr>
              <w:jc w:val="right"/>
              <w:rPr>
                <w:rFonts w:hint="default" w:ascii="Calibri" w:hAnsi="Calibri" w:eastAsia="宋体"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29"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2019999</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其他一般公共服务支出</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400,000.00</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400,000.00</w:t>
            </w:r>
          </w:p>
        </w:tc>
        <w:tc>
          <w:tcPr>
            <w:tcW w:w="2137" w:type="dxa"/>
            <w:tcBorders>
              <w:top w:val="nil"/>
              <w:left w:val="nil"/>
              <w:bottom w:val="single" w:color="000000" w:sz="4" w:space="0"/>
              <w:right w:val="single" w:color="000000" w:sz="4" w:space="0"/>
            </w:tcBorders>
            <w:shd w:val="clear" w:color="auto" w:fill="auto"/>
            <w:noWrap/>
            <w:vAlign w:val="center"/>
          </w:tcPr>
          <w:p>
            <w:pPr>
              <w:jc w:val="right"/>
              <w:rPr>
                <w:rFonts w:hint="default" w:ascii="Calibri" w:hAnsi="Calibri" w:eastAsia="宋体"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29"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207</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文化旅游体育与传媒支出</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148,539.00</w:t>
            </w:r>
          </w:p>
        </w:tc>
        <w:tc>
          <w:tcPr>
            <w:tcW w:w="1863" w:type="dxa"/>
            <w:tcBorders>
              <w:top w:val="nil"/>
              <w:left w:val="nil"/>
              <w:bottom w:val="single" w:color="000000" w:sz="4" w:space="0"/>
              <w:right w:val="single" w:color="000000" w:sz="4" w:space="0"/>
            </w:tcBorders>
            <w:shd w:val="clear" w:color="auto" w:fill="auto"/>
            <w:noWrap/>
            <w:vAlign w:val="center"/>
          </w:tcPr>
          <w:p>
            <w:pPr>
              <w:jc w:val="left"/>
              <w:rPr>
                <w:rFonts w:hint="default" w:ascii="Calibri" w:hAnsi="Calibri" w:eastAsia="宋体" w:cs="Calibri"/>
                <w:i w:val="0"/>
                <w:iCs w:val="0"/>
                <w:color w:val="000000"/>
                <w:sz w:val="22"/>
                <w:szCs w:val="22"/>
                <w:u w:val="none"/>
              </w:rPr>
            </w:pPr>
          </w:p>
        </w:tc>
        <w:tc>
          <w:tcPr>
            <w:tcW w:w="21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148,539.00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5"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20701</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文化和旅游</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148,539.00</w:t>
            </w:r>
          </w:p>
        </w:tc>
        <w:tc>
          <w:tcPr>
            <w:tcW w:w="1863" w:type="dxa"/>
            <w:tcBorders>
              <w:top w:val="nil"/>
              <w:left w:val="nil"/>
              <w:bottom w:val="single" w:color="000000" w:sz="4" w:space="0"/>
              <w:right w:val="single" w:color="000000" w:sz="4" w:space="0"/>
            </w:tcBorders>
            <w:shd w:val="clear" w:color="auto" w:fill="auto"/>
            <w:noWrap/>
            <w:vAlign w:val="center"/>
          </w:tcPr>
          <w:p>
            <w:pPr>
              <w:jc w:val="left"/>
              <w:rPr>
                <w:rFonts w:hint="default" w:ascii="Calibri" w:hAnsi="Calibri" w:eastAsia="宋体" w:cs="Calibri"/>
                <w:i w:val="0"/>
                <w:iCs w:val="0"/>
                <w:color w:val="000000"/>
                <w:sz w:val="22"/>
                <w:szCs w:val="22"/>
                <w:u w:val="none"/>
              </w:rPr>
            </w:pPr>
          </w:p>
        </w:tc>
        <w:tc>
          <w:tcPr>
            <w:tcW w:w="21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148,539.00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29"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2070199</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其他文化和旅游支出</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148,539.00</w:t>
            </w:r>
          </w:p>
        </w:tc>
        <w:tc>
          <w:tcPr>
            <w:tcW w:w="1863" w:type="dxa"/>
            <w:tcBorders>
              <w:top w:val="nil"/>
              <w:left w:val="nil"/>
              <w:bottom w:val="single" w:color="000000" w:sz="4" w:space="0"/>
              <w:right w:val="single" w:color="000000" w:sz="4" w:space="0"/>
            </w:tcBorders>
            <w:shd w:val="clear" w:color="auto" w:fill="auto"/>
            <w:noWrap/>
            <w:vAlign w:val="center"/>
          </w:tcPr>
          <w:p>
            <w:pPr>
              <w:jc w:val="left"/>
              <w:rPr>
                <w:rFonts w:hint="default" w:ascii="Calibri" w:hAnsi="Calibri" w:eastAsia="宋体" w:cs="Calibri"/>
                <w:i w:val="0"/>
                <w:iCs w:val="0"/>
                <w:color w:val="000000"/>
                <w:sz w:val="22"/>
                <w:szCs w:val="22"/>
                <w:u w:val="none"/>
              </w:rPr>
            </w:pPr>
          </w:p>
        </w:tc>
        <w:tc>
          <w:tcPr>
            <w:tcW w:w="21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148,539.00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29"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208</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社会保障和就业支出</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1,497,573.57</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1,497,573.57</w:t>
            </w:r>
          </w:p>
        </w:tc>
        <w:tc>
          <w:tcPr>
            <w:tcW w:w="2137" w:type="dxa"/>
            <w:tcBorders>
              <w:top w:val="nil"/>
              <w:left w:val="nil"/>
              <w:bottom w:val="single" w:color="000000" w:sz="4" w:space="0"/>
              <w:right w:val="single" w:color="000000" w:sz="4" w:space="0"/>
            </w:tcBorders>
            <w:shd w:val="clear" w:color="auto" w:fill="auto"/>
            <w:noWrap/>
            <w:vAlign w:val="center"/>
          </w:tcPr>
          <w:p>
            <w:pPr>
              <w:jc w:val="right"/>
              <w:rPr>
                <w:rFonts w:hint="default" w:ascii="Calibri" w:hAnsi="Calibri" w:eastAsia="宋体"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29"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20805</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行政事业单位养老支出</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1,497,573.57</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1,497,573.57</w:t>
            </w:r>
          </w:p>
        </w:tc>
        <w:tc>
          <w:tcPr>
            <w:tcW w:w="2137" w:type="dxa"/>
            <w:tcBorders>
              <w:top w:val="nil"/>
              <w:left w:val="nil"/>
              <w:bottom w:val="single" w:color="000000" w:sz="4" w:space="0"/>
              <w:right w:val="single" w:color="000000" w:sz="4" w:space="0"/>
            </w:tcBorders>
            <w:shd w:val="clear" w:color="auto" w:fill="auto"/>
            <w:noWrap/>
            <w:vAlign w:val="center"/>
          </w:tcPr>
          <w:p>
            <w:pPr>
              <w:jc w:val="right"/>
              <w:rPr>
                <w:rFonts w:hint="default" w:ascii="Calibri" w:hAnsi="Calibri" w:eastAsia="宋体"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29"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2080501</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行政单位离退休</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1,060,213.57</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1,060,213.57</w:t>
            </w:r>
          </w:p>
        </w:tc>
        <w:tc>
          <w:tcPr>
            <w:tcW w:w="2137" w:type="dxa"/>
            <w:tcBorders>
              <w:top w:val="nil"/>
              <w:left w:val="nil"/>
              <w:bottom w:val="single" w:color="000000" w:sz="4" w:space="0"/>
              <w:right w:val="single" w:color="000000" w:sz="4" w:space="0"/>
            </w:tcBorders>
            <w:shd w:val="clear" w:color="auto" w:fill="auto"/>
            <w:noWrap/>
            <w:vAlign w:val="center"/>
          </w:tcPr>
          <w:p>
            <w:pPr>
              <w:jc w:val="right"/>
              <w:rPr>
                <w:rFonts w:hint="default" w:ascii="Calibri" w:hAnsi="Calibri" w:eastAsia="宋体"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29"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2080502</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事业单位离退休</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437,360.00</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437,360.00</w:t>
            </w:r>
          </w:p>
        </w:tc>
        <w:tc>
          <w:tcPr>
            <w:tcW w:w="2137" w:type="dxa"/>
            <w:tcBorders>
              <w:top w:val="nil"/>
              <w:left w:val="nil"/>
              <w:bottom w:val="single" w:color="000000" w:sz="4" w:space="0"/>
              <w:right w:val="single" w:color="000000" w:sz="4" w:space="0"/>
            </w:tcBorders>
            <w:shd w:val="clear" w:color="auto" w:fill="auto"/>
            <w:noWrap/>
            <w:vAlign w:val="center"/>
          </w:tcPr>
          <w:p>
            <w:pPr>
              <w:jc w:val="right"/>
              <w:rPr>
                <w:rFonts w:hint="default" w:ascii="Calibri" w:hAnsi="Calibri" w:eastAsia="宋体"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5"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212</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城乡社区支出</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10,268,378.12</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9,695,543.00</w:t>
            </w:r>
          </w:p>
        </w:tc>
        <w:tc>
          <w:tcPr>
            <w:tcW w:w="21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572,835.12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939"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21208</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国有土地使用权出让收入安排的支出</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9,095,543.00</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9,095,543.00</w:t>
            </w:r>
          </w:p>
        </w:tc>
        <w:tc>
          <w:tcPr>
            <w:tcW w:w="2137" w:type="dxa"/>
            <w:tcBorders>
              <w:top w:val="nil"/>
              <w:left w:val="nil"/>
              <w:bottom w:val="single" w:color="000000" w:sz="4" w:space="0"/>
              <w:right w:val="single" w:color="000000" w:sz="4" w:space="0"/>
            </w:tcBorders>
            <w:shd w:val="clear" w:color="auto" w:fill="auto"/>
            <w:noWrap/>
            <w:vAlign w:val="center"/>
          </w:tcPr>
          <w:p>
            <w:pPr>
              <w:jc w:val="right"/>
              <w:rPr>
                <w:rFonts w:hint="default" w:ascii="Calibri" w:hAnsi="Calibri" w:eastAsia="宋体"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29"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2120801</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征地和拆迁补偿支出</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9,095,543.00</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9,095,543.00</w:t>
            </w:r>
          </w:p>
        </w:tc>
        <w:tc>
          <w:tcPr>
            <w:tcW w:w="2137" w:type="dxa"/>
            <w:tcBorders>
              <w:top w:val="nil"/>
              <w:left w:val="nil"/>
              <w:bottom w:val="single" w:color="000000" w:sz="4" w:space="0"/>
              <w:right w:val="single" w:color="000000" w:sz="4" w:space="0"/>
            </w:tcBorders>
            <w:shd w:val="clear" w:color="auto" w:fill="auto"/>
            <w:noWrap/>
            <w:vAlign w:val="center"/>
          </w:tcPr>
          <w:p>
            <w:pPr>
              <w:jc w:val="right"/>
              <w:rPr>
                <w:rFonts w:hint="default" w:ascii="Calibri" w:hAnsi="Calibri" w:eastAsia="宋体"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29"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21299</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其他城乡社区支出</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1,172,835.12</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600,000.00</w:t>
            </w:r>
          </w:p>
        </w:tc>
        <w:tc>
          <w:tcPr>
            <w:tcW w:w="21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572,835.12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29"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2129999</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其他城乡社区支出</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1,172,835.12</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600,000.00</w:t>
            </w:r>
          </w:p>
        </w:tc>
        <w:tc>
          <w:tcPr>
            <w:tcW w:w="21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572,835.12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29"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224</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灾害防治及应急管理支出</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52,500.00</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52,500.00</w:t>
            </w:r>
          </w:p>
        </w:tc>
        <w:tc>
          <w:tcPr>
            <w:tcW w:w="2137" w:type="dxa"/>
            <w:tcBorders>
              <w:top w:val="nil"/>
              <w:left w:val="nil"/>
              <w:bottom w:val="single" w:color="000000" w:sz="4" w:space="0"/>
              <w:right w:val="single" w:color="000000" w:sz="4" w:space="0"/>
            </w:tcBorders>
            <w:shd w:val="clear" w:color="auto" w:fill="auto"/>
            <w:noWrap/>
            <w:vAlign w:val="center"/>
          </w:tcPr>
          <w:p>
            <w:pPr>
              <w:jc w:val="right"/>
              <w:rPr>
                <w:rFonts w:hint="default" w:ascii="Calibri" w:hAnsi="Calibri" w:eastAsia="宋体"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5"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22402</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消防救援事务</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52,500.00</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52,500.00</w:t>
            </w:r>
          </w:p>
        </w:tc>
        <w:tc>
          <w:tcPr>
            <w:tcW w:w="2137" w:type="dxa"/>
            <w:tcBorders>
              <w:top w:val="nil"/>
              <w:left w:val="nil"/>
              <w:bottom w:val="single" w:color="000000" w:sz="4" w:space="0"/>
              <w:right w:val="single" w:color="000000" w:sz="4" w:space="0"/>
            </w:tcBorders>
            <w:shd w:val="clear" w:color="auto" w:fill="auto"/>
            <w:noWrap/>
            <w:vAlign w:val="center"/>
          </w:tcPr>
          <w:p>
            <w:pPr>
              <w:jc w:val="right"/>
              <w:rPr>
                <w:rFonts w:hint="default" w:ascii="Calibri" w:hAnsi="Calibri" w:eastAsia="宋体"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29"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2240204</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消防应急救援</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52,500.00</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52,500.00</w:t>
            </w:r>
          </w:p>
        </w:tc>
        <w:tc>
          <w:tcPr>
            <w:tcW w:w="2137" w:type="dxa"/>
            <w:tcBorders>
              <w:top w:val="nil"/>
              <w:left w:val="nil"/>
              <w:bottom w:val="single" w:color="000000" w:sz="4" w:space="0"/>
              <w:right w:val="single" w:color="000000" w:sz="4" w:space="0"/>
            </w:tcBorders>
            <w:shd w:val="clear" w:color="auto" w:fill="auto"/>
            <w:noWrap/>
            <w:vAlign w:val="center"/>
          </w:tcPr>
          <w:p>
            <w:pPr>
              <w:jc w:val="right"/>
              <w:rPr>
                <w:rFonts w:hint="default" w:ascii="Calibri" w:hAnsi="Calibri" w:eastAsia="宋体"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5"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229</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其他支出</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25,003,059.38</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3,059.38</w:t>
            </w:r>
          </w:p>
        </w:tc>
        <w:tc>
          <w:tcPr>
            <w:tcW w:w="21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25,000,000.00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939"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22904</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其他政府性基金及对应专项债务收入安排的支出</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25,003,059.38</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3,059.38</w:t>
            </w:r>
          </w:p>
        </w:tc>
        <w:tc>
          <w:tcPr>
            <w:tcW w:w="21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25,000,000.00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258" w:hRule="atLeast"/>
        </w:trPr>
        <w:tc>
          <w:tcPr>
            <w:tcW w:w="119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2290402</w:t>
            </w:r>
          </w:p>
        </w:tc>
        <w:tc>
          <w:tcPr>
            <w:tcW w:w="17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其他地方自行试点项目收益专项债券收入安排的支出</w:t>
            </w:r>
          </w:p>
        </w:tc>
        <w:tc>
          <w:tcPr>
            <w:tcW w:w="20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25,003,059.38</w:t>
            </w:r>
          </w:p>
        </w:tc>
        <w:tc>
          <w:tcPr>
            <w:tcW w:w="18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3,059.38</w:t>
            </w:r>
          </w:p>
        </w:tc>
        <w:tc>
          <w:tcPr>
            <w:tcW w:w="21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25,000,000.00</w:t>
            </w:r>
          </w:p>
        </w:tc>
      </w:tr>
    </w:tbl>
    <w:p>
      <w:pPr>
        <w:widowControl/>
        <w:spacing w:before="0" w:after="0" w:line="240" w:lineRule="auto"/>
        <w:jc w:val="left"/>
        <w:rPr>
          <w:rFonts w:hint="eastAsia" w:ascii="仿宋" w:hAnsi="仿宋" w:eastAsia="仿宋" w:cs="仿宋"/>
          <w:kern w:val="0"/>
          <w:sz w:val="32"/>
          <w:szCs w:val="32"/>
          <w:lang w:eastAsia="zh-CN"/>
        </w:rPr>
      </w:pPr>
    </w:p>
    <w:p>
      <w:pPr>
        <w:widowControl/>
        <w:numPr>
          <w:ilvl w:val="0"/>
          <w:numId w:val="2"/>
        </w:numPr>
        <w:spacing w:before="0" w:after="0" w:line="315" w:lineRule="atLeast"/>
        <w:ind w:left="0" w:leftChars="0" w:firstLine="630" w:firstLineChars="0"/>
        <w:jc w:val="left"/>
        <w:rPr>
          <w:rFonts w:ascii="仿宋" w:hAnsi="仿宋" w:eastAsia="仿宋" w:cs="仿宋"/>
          <w:kern w:val="0"/>
          <w:sz w:val="32"/>
          <w:szCs w:val="32"/>
        </w:rPr>
      </w:pPr>
      <w:r>
        <w:rPr>
          <w:rFonts w:ascii="仿宋" w:hAnsi="仿宋" w:eastAsia="仿宋" w:cs="仿宋"/>
          <w:kern w:val="0"/>
          <w:sz w:val="32"/>
          <w:szCs w:val="32"/>
        </w:rPr>
        <w:t>收入支出与上年度对比情况及原因分析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本年收入共计61,204,222.75元，比上年度增加15,896,354.05元，增幅35.09%，其中一般公共预算财政拨款收入决算数为16,027,616.69元，增幅4.70%，主要原因是我镇日常发展维护需要，开展遂溪县第一届火龙果文化周等；政府性基金预算财政拨款决算数为34,095,543.00元，增幅13.65%，主要原因是建设杨柑镇现代农业商贸服务基地及乡村配套设施建设项目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本年支出共计60,357,178.41元，比上年度增加15,049,309.71元，增幅33.22%。</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本年基本支出共计34,635,804.29元，比上年度增加19,327,935.59元，增幅126.26%，其中人员经费16,959,964.76元，比上年度增加5,860,947.48元，增幅52.81%，主要原因是我镇日常发展维护需要，开展遂溪县第一届火龙果文化周等；公用经费17,675,839.53元，比上年度增加13,466,988.11元，增幅319.97%，主要原因是新建基建项目需要，杨柑镇现代农业商贸服务基地及乡村配套设施建设项目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b/>
          <w:bCs/>
          <w:kern w:val="0"/>
          <w:sz w:val="32"/>
          <w:szCs w:val="32"/>
        </w:rPr>
      </w:pPr>
      <w:r>
        <w:rPr>
          <w:rFonts w:hint="eastAsia" w:ascii="仿宋_GB2312" w:hAnsi="仿宋_GB2312" w:eastAsia="仿宋_GB2312" w:cs="仿宋_GB2312"/>
          <w:sz w:val="32"/>
          <w:szCs w:val="32"/>
          <w:highlight w:val="none"/>
          <w:lang w:val="en-US" w:eastAsia="zh-CN"/>
        </w:rPr>
        <w:t>本年项目支出共计25,721,374.12元，比上年度减少4,278,625.88元，降幅14.26%，主要原因是建设杨柑镇现代农业商贸服务基地及乡村配套设施建设项目等，比上年所需项目经费减少。</w:t>
      </w:r>
    </w:p>
    <w:p>
      <w:pPr>
        <w:widowControl/>
        <w:numPr>
          <w:ilvl w:val="0"/>
          <w:numId w:val="0"/>
        </w:numPr>
        <w:spacing w:before="0" w:after="0" w:line="315" w:lineRule="atLeast"/>
        <w:ind w:left="630" w:leftChars="0"/>
        <w:jc w:val="left"/>
        <w:rPr>
          <w:rFonts w:ascii="仿宋" w:hAnsi="仿宋" w:eastAsia="仿宋" w:cs="仿宋"/>
          <w:kern w:val="0"/>
          <w:sz w:val="32"/>
          <w:szCs w:val="32"/>
        </w:rPr>
      </w:pPr>
      <w:r>
        <w:rPr>
          <w:rFonts w:ascii="仿宋" w:hAnsi="仿宋" w:eastAsia="仿宋" w:cs="仿宋"/>
          <w:b/>
          <w:bCs/>
          <w:kern w:val="0"/>
          <w:sz w:val="32"/>
          <w:szCs w:val="32"/>
        </w:rPr>
        <w:t>3．支出按经济分类科目分析。</w:t>
      </w:r>
    </w:p>
    <w:p>
      <w:pPr>
        <w:rPr>
          <w:rFonts w:ascii="仿宋" w:hAnsi="仿宋" w:eastAsia="仿宋" w:cs="仿宋"/>
          <w:kern w:val="0"/>
          <w:sz w:val="32"/>
          <w:szCs w:val="32"/>
        </w:rPr>
      </w:pPr>
      <w:r>
        <w:rPr>
          <w:rFonts w:ascii="仿宋" w:hAnsi="仿宋" w:eastAsia="仿宋" w:cs="仿宋"/>
          <w:kern w:val="0"/>
          <w:sz w:val="32"/>
          <w:szCs w:val="32"/>
        </w:rPr>
        <w:t>（1）“三公”经费支出情况：</w:t>
      </w:r>
      <w:bookmarkStart w:id="9" w:name="PO_part3A2Year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2023 </w:t>
      </w:r>
      <w:bookmarkEnd w:id="9"/>
      <w:r>
        <w:rPr>
          <w:rFonts w:hint="eastAsia" w:ascii="仿宋_GB2312" w:hAnsi="仿宋_GB2312" w:eastAsia="仿宋_GB2312" w:cs="仿宋_GB2312"/>
          <w:sz w:val="32"/>
          <w:szCs w:val="32"/>
          <w:highlight w:val="none"/>
          <w:lang w:val="en-US" w:eastAsia="zh-CN"/>
        </w:rPr>
        <w:t>年本部门财政拨款安排“三公”经费</w:t>
      </w:r>
      <w:bookmarkStart w:id="10" w:name="PO_part3A2Amount1"/>
      <w:r>
        <w:rPr>
          <w:rFonts w:hint="eastAsia" w:ascii="仿宋_GB2312" w:hAnsi="仿宋_GB2312" w:eastAsia="仿宋_GB2312" w:cs="仿宋_GB2312"/>
          <w:sz w:val="32"/>
          <w:szCs w:val="32"/>
          <w:highlight w:val="none"/>
          <w:lang w:val="en-US" w:eastAsia="zh-CN"/>
        </w:rPr>
        <w:t>14</w:t>
      </w:r>
      <w:bookmarkEnd w:id="10"/>
      <w:r>
        <w:rPr>
          <w:rFonts w:hint="eastAsia" w:ascii="仿宋_GB2312" w:hAnsi="仿宋_GB2312" w:eastAsia="仿宋_GB2312" w:cs="仿宋_GB2312"/>
          <w:sz w:val="32"/>
          <w:szCs w:val="32"/>
          <w:highlight w:val="none"/>
          <w:lang w:val="en-US" w:eastAsia="zh-CN"/>
        </w:rPr>
        <w:t>0000元，比上年</w:t>
      </w:r>
      <w:bookmarkStart w:id="11" w:name="PO_part3A2IncAmount1"/>
      <w:r>
        <w:rPr>
          <w:rFonts w:hint="eastAsia" w:ascii="仿宋_GB2312" w:hAnsi="仿宋_GB2312" w:eastAsia="仿宋_GB2312" w:cs="仿宋_GB2312"/>
          <w:sz w:val="32"/>
          <w:szCs w:val="32"/>
          <w:highlight w:val="none"/>
          <w:lang w:val="en-US" w:eastAsia="zh-CN"/>
        </w:rPr>
        <w:t>增加0</w:t>
      </w:r>
      <w:bookmarkEnd w:id="11"/>
      <w:r>
        <w:rPr>
          <w:rFonts w:hint="eastAsia" w:ascii="仿宋_GB2312" w:hAnsi="仿宋_GB2312" w:eastAsia="仿宋_GB2312" w:cs="仿宋_GB2312"/>
          <w:sz w:val="32"/>
          <w:szCs w:val="32"/>
          <w:highlight w:val="none"/>
          <w:lang w:val="en-US" w:eastAsia="zh-CN"/>
        </w:rPr>
        <w:t>元，</w:t>
      </w:r>
      <w:bookmarkStart w:id="12" w:name="PO_part3A2IncPercent1"/>
      <w:r>
        <w:rPr>
          <w:rFonts w:hint="eastAsia" w:ascii="仿宋_GB2312" w:hAnsi="仿宋_GB2312" w:eastAsia="仿宋_GB2312" w:cs="仿宋_GB2312"/>
          <w:sz w:val="32"/>
          <w:szCs w:val="32"/>
          <w:highlight w:val="none"/>
          <w:lang w:val="en-US" w:eastAsia="zh-CN"/>
        </w:rPr>
        <w:t>增长0.0</w:t>
      </w:r>
      <w:bookmarkEnd w:id="12"/>
      <w:r>
        <w:rPr>
          <w:rFonts w:hint="eastAsia" w:ascii="仿宋_GB2312" w:hAnsi="仿宋_GB2312" w:eastAsia="仿宋_GB2312" w:cs="仿宋_GB2312"/>
          <w:sz w:val="32"/>
          <w:szCs w:val="32"/>
          <w:highlight w:val="none"/>
          <w:lang w:val="en-US" w:eastAsia="zh-CN"/>
        </w:rPr>
        <w:t>%，</w:t>
      </w:r>
      <w:bookmarkStart w:id="13" w:name="PO_part3A2IncReason1"/>
      <w:r>
        <w:rPr>
          <w:rFonts w:hint="eastAsia" w:ascii="仿宋_GB2312" w:hAnsi="仿宋_GB2312" w:eastAsia="仿宋_GB2312" w:cs="仿宋_GB2312"/>
          <w:sz w:val="32"/>
          <w:szCs w:val="32"/>
          <w:highlight w:val="none"/>
          <w:lang w:val="en-US" w:eastAsia="zh-CN"/>
        </w:rPr>
        <w:t>与上年持平</w:t>
      </w:r>
      <w:bookmarkEnd w:id="13"/>
      <w:r>
        <w:rPr>
          <w:rFonts w:hint="eastAsia" w:ascii="仿宋_GB2312" w:hAnsi="仿宋_GB2312" w:eastAsia="仿宋_GB2312" w:cs="仿宋_GB2312"/>
          <w:sz w:val="32"/>
          <w:szCs w:val="32"/>
          <w:highlight w:val="none"/>
          <w:lang w:val="en-US" w:eastAsia="zh-CN"/>
        </w:rPr>
        <w:t>。其中：因公出国（境）费</w:t>
      </w:r>
      <w:bookmarkStart w:id="14" w:name="PO_part3A2Amount2"/>
      <w:r>
        <w:rPr>
          <w:rFonts w:hint="eastAsia" w:ascii="仿宋_GB2312" w:hAnsi="仿宋_GB2312" w:eastAsia="仿宋_GB2312" w:cs="仿宋_GB2312"/>
          <w:sz w:val="32"/>
          <w:szCs w:val="32"/>
          <w:highlight w:val="none"/>
          <w:lang w:val="en-US" w:eastAsia="zh-CN"/>
        </w:rPr>
        <w:t xml:space="preserve">0 </w:t>
      </w:r>
      <w:bookmarkEnd w:id="14"/>
      <w:r>
        <w:rPr>
          <w:rFonts w:hint="eastAsia" w:ascii="仿宋_GB2312" w:hAnsi="仿宋_GB2312" w:eastAsia="仿宋_GB2312" w:cs="仿宋_GB2312"/>
          <w:sz w:val="32"/>
          <w:szCs w:val="32"/>
          <w:highlight w:val="none"/>
          <w:lang w:val="en-US" w:eastAsia="zh-CN"/>
        </w:rPr>
        <w:t>元，比上年</w:t>
      </w:r>
      <w:bookmarkStart w:id="15" w:name="PO_part3A2IncAmount2"/>
      <w:r>
        <w:rPr>
          <w:rFonts w:hint="eastAsia" w:ascii="仿宋_GB2312" w:hAnsi="仿宋_GB2312" w:eastAsia="仿宋_GB2312" w:cs="仿宋_GB2312"/>
          <w:sz w:val="32"/>
          <w:szCs w:val="32"/>
          <w:highlight w:val="none"/>
          <w:lang w:val="en-US" w:eastAsia="zh-CN"/>
        </w:rPr>
        <w:t>增加0</w:t>
      </w:r>
      <w:bookmarkEnd w:id="15"/>
      <w:r>
        <w:rPr>
          <w:rFonts w:hint="eastAsia" w:ascii="仿宋_GB2312" w:hAnsi="仿宋_GB2312" w:eastAsia="仿宋_GB2312" w:cs="仿宋_GB2312"/>
          <w:sz w:val="32"/>
          <w:szCs w:val="32"/>
          <w:highlight w:val="none"/>
          <w:lang w:val="en-US" w:eastAsia="zh-CN"/>
        </w:rPr>
        <w:t>元，</w:t>
      </w:r>
      <w:bookmarkStart w:id="16" w:name="PO_part3A2IncPercent2"/>
      <w:r>
        <w:rPr>
          <w:rFonts w:hint="eastAsia" w:ascii="仿宋_GB2312" w:hAnsi="仿宋_GB2312" w:eastAsia="仿宋_GB2312" w:cs="仿宋_GB2312"/>
          <w:sz w:val="32"/>
          <w:szCs w:val="32"/>
          <w:highlight w:val="none"/>
          <w:lang w:val="en-US" w:eastAsia="zh-CN"/>
        </w:rPr>
        <w:t xml:space="preserve">增长0.0 </w:t>
      </w:r>
      <w:bookmarkEnd w:id="16"/>
      <w:r>
        <w:rPr>
          <w:rFonts w:hint="eastAsia" w:ascii="仿宋_GB2312" w:hAnsi="仿宋_GB2312" w:eastAsia="仿宋_GB2312" w:cs="仿宋_GB2312"/>
          <w:sz w:val="32"/>
          <w:szCs w:val="32"/>
          <w:highlight w:val="none"/>
          <w:lang w:val="en-US" w:eastAsia="zh-CN"/>
        </w:rPr>
        <w:t>%，</w:t>
      </w:r>
      <w:bookmarkStart w:id="17" w:name="PO_part3A2IncReason2"/>
      <w:r>
        <w:rPr>
          <w:rFonts w:hint="eastAsia" w:ascii="仿宋_GB2312" w:hAnsi="仿宋_GB2312" w:eastAsia="仿宋_GB2312" w:cs="仿宋_GB2312"/>
          <w:sz w:val="32"/>
          <w:szCs w:val="32"/>
          <w:highlight w:val="none"/>
          <w:lang w:val="en-US" w:eastAsia="zh-CN"/>
        </w:rPr>
        <w:t>与上年持平</w:t>
      </w:r>
      <w:bookmarkEnd w:id="17"/>
      <w:r>
        <w:rPr>
          <w:rFonts w:hint="eastAsia" w:ascii="仿宋_GB2312" w:hAnsi="仿宋_GB2312" w:eastAsia="仿宋_GB2312" w:cs="仿宋_GB2312"/>
          <w:sz w:val="32"/>
          <w:szCs w:val="32"/>
          <w:highlight w:val="none"/>
          <w:lang w:val="en-US" w:eastAsia="zh-CN"/>
        </w:rPr>
        <w:t>；公务用车购置及运行费</w:t>
      </w:r>
      <w:bookmarkStart w:id="18" w:name="PO_part3A2Amount3"/>
      <w:r>
        <w:rPr>
          <w:rFonts w:hint="eastAsia" w:ascii="仿宋_GB2312" w:hAnsi="仿宋_GB2312" w:eastAsia="仿宋_GB2312" w:cs="仿宋_GB2312"/>
          <w:sz w:val="32"/>
          <w:szCs w:val="32"/>
          <w:highlight w:val="none"/>
          <w:lang w:val="en-US" w:eastAsia="zh-CN"/>
        </w:rPr>
        <w:t>12</w:t>
      </w:r>
      <w:bookmarkEnd w:id="18"/>
      <w:r>
        <w:rPr>
          <w:rFonts w:hint="eastAsia" w:ascii="仿宋_GB2312" w:hAnsi="仿宋_GB2312" w:eastAsia="仿宋_GB2312" w:cs="仿宋_GB2312"/>
          <w:sz w:val="32"/>
          <w:szCs w:val="32"/>
          <w:highlight w:val="none"/>
          <w:lang w:val="en-US" w:eastAsia="zh-CN"/>
        </w:rPr>
        <w:t>0000元（公务用车购置费</w:t>
      </w:r>
      <w:bookmarkStart w:id="19" w:name="PO_part3A2Amount4"/>
      <w:r>
        <w:rPr>
          <w:rFonts w:hint="eastAsia" w:ascii="仿宋_GB2312" w:hAnsi="仿宋_GB2312" w:eastAsia="仿宋_GB2312" w:cs="仿宋_GB2312"/>
          <w:sz w:val="32"/>
          <w:szCs w:val="32"/>
          <w:highlight w:val="none"/>
          <w:lang w:val="en-US" w:eastAsia="zh-CN"/>
        </w:rPr>
        <w:t>0</w:t>
      </w:r>
      <w:bookmarkEnd w:id="19"/>
      <w:r>
        <w:rPr>
          <w:rFonts w:hint="eastAsia" w:ascii="仿宋_GB2312" w:hAnsi="仿宋_GB2312" w:eastAsia="仿宋_GB2312" w:cs="仿宋_GB2312"/>
          <w:sz w:val="32"/>
          <w:szCs w:val="32"/>
          <w:highlight w:val="none"/>
          <w:lang w:val="en-US" w:eastAsia="zh-CN"/>
        </w:rPr>
        <w:t>元，比上年</w:t>
      </w:r>
      <w:bookmarkStart w:id="20" w:name="PO_part3A2IncAmount5"/>
      <w:r>
        <w:rPr>
          <w:rFonts w:hint="eastAsia" w:ascii="仿宋_GB2312" w:hAnsi="仿宋_GB2312" w:eastAsia="仿宋_GB2312" w:cs="仿宋_GB2312"/>
          <w:sz w:val="32"/>
          <w:szCs w:val="32"/>
          <w:highlight w:val="none"/>
          <w:lang w:val="en-US" w:eastAsia="zh-CN"/>
        </w:rPr>
        <w:t>增加0</w:t>
      </w:r>
      <w:bookmarkEnd w:id="20"/>
      <w:r>
        <w:rPr>
          <w:rFonts w:hint="eastAsia" w:ascii="仿宋_GB2312" w:hAnsi="仿宋_GB2312" w:eastAsia="仿宋_GB2312" w:cs="仿宋_GB2312"/>
          <w:sz w:val="32"/>
          <w:szCs w:val="32"/>
          <w:highlight w:val="none"/>
          <w:lang w:val="en-US" w:eastAsia="zh-CN"/>
        </w:rPr>
        <w:t>元；公务用车运行维护费</w:t>
      </w:r>
      <w:bookmarkStart w:id="21" w:name="PO_part3A2Amount5"/>
      <w:r>
        <w:rPr>
          <w:rFonts w:hint="eastAsia" w:ascii="仿宋_GB2312" w:hAnsi="仿宋_GB2312" w:eastAsia="仿宋_GB2312" w:cs="仿宋_GB2312"/>
          <w:sz w:val="32"/>
          <w:szCs w:val="32"/>
          <w:highlight w:val="none"/>
          <w:lang w:val="en-US" w:eastAsia="zh-CN"/>
        </w:rPr>
        <w:t>12</w:t>
      </w:r>
      <w:bookmarkEnd w:id="21"/>
      <w:r>
        <w:rPr>
          <w:rFonts w:hint="eastAsia" w:ascii="仿宋_GB2312" w:hAnsi="仿宋_GB2312" w:eastAsia="仿宋_GB2312" w:cs="仿宋_GB2312"/>
          <w:sz w:val="32"/>
          <w:szCs w:val="32"/>
          <w:highlight w:val="none"/>
          <w:lang w:val="en-US" w:eastAsia="zh-CN"/>
        </w:rPr>
        <w:t>0000元，比上年</w:t>
      </w:r>
      <w:bookmarkStart w:id="22" w:name="PO_part3A2IncAmount6"/>
      <w:r>
        <w:rPr>
          <w:rFonts w:hint="eastAsia" w:ascii="仿宋_GB2312" w:hAnsi="仿宋_GB2312" w:eastAsia="仿宋_GB2312" w:cs="仿宋_GB2312"/>
          <w:sz w:val="32"/>
          <w:szCs w:val="32"/>
          <w:highlight w:val="none"/>
          <w:lang w:val="en-US" w:eastAsia="zh-CN"/>
        </w:rPr>
        <w:t>增加0</w:t>
      </w:r>
      <w:bookmarkEnd w:id="22"/>
      <w:r>
        <w:rPr>
          <w:rFonts w:hint="eastAsia" w:ascii="仿宋_GB2312" w:hAnsi="仿宋_GB2312" w:eastAsia="仿宋_GB2312" w:cs="仿宋_GB2312"/>
          <w:sz w:val="32"/>
          <w:szCs w:val="32"/>
          <w:highlight w:val="none"/>
          <w:lang w:val="en-US" w:eastAsia="zh-CN"/>
        </w:rPr>
        <w:t>元。）比上年</w:t>
      </w:r>
      <w:bookmarkStart w:id="23" w:name="PO_part3A2IncAmount3"/>
      <w:r>
        <w:rPr>
          <w:rFonts w:hint="eastAsia" w:ascii="仿宋_GB2312" w:hAnsi="仿宋_GB2312" w:eastAsia="仿宋_GB2312" w:cs="仿宋_GB2312"/>
          <w:sz w:val="32"/>
          <w:szCs w:val="32"/>
          <w:highlight w:val="none"/>
          <w:lang w:val="en-US" w:eastAsia="zh-CN"/>
        </w:rPr>
        <w:t>增加0</w:t>
      </w:r>
      <w:bookmarkEnd w:id="23"/>
      <w:r>
        <w:rPr>
          <w:rFonts w:hint="eastAsia" w:ascii="仿宋_GB2312" w:hAnsi="仿宋_GB2312" w:eastAsia="仿宋_GB2312" w:cs="仿宋_GB2312"/>
          <w:sz w:val="32"/>
          <w:szCs w:val="32"/>
          <w:highlight w:val="none"/>
          <w:lang w:val="en-US" w:eastAsia="zh-CN"/>
        </w:rPr>
        <w:t>元，</w:t>
      </w:r>
      <w:bookmarkStart w:id="24" w:name="PO_part3A2IncPercent3"/>
      <w:r>
        <w:rPr>
          <w:rFonts w:hint="eastAsia" w:ascii="仿宋_GB2312" w:hAnsi="仿宋_GB2312" w:eastAsia="仿宋_GB2312" w:cs="仿宋_GB2312"/>
          <w:sz w:val="32"/>
          <w:szCs w:val="32"/>
          <w:highlight w:val="none"/>
          <w:lang w:val="en-US" w:eastAsia="zh-CN"/>
        </w:rPr>
        <w:t xml:space="preserve">增长0.0 </w:t>
      </w:r>
      <w:bookmarkEnd w:id="24"/>
      <w:r>
        <w:rPr>
          <w:rFonts w:hint="eastAsia" w:ascii="仿宋_GB2312" w:hAnsi="仿宋_GB2312" w:eastAsia="仿宋_GB2312" w:cs="仿宋_GB2312"/>
          <w:sz w:val="32"/>
          <w:szCs w:val="32"/>
          <w:highlight w:val="none"/>
          <w:lang w:val="en-US" w:eastAsia="zh-CN"/>
        </w:rPr>
        <w:t>%，</w:t>
      </w:r>
      <w:bookmarkStart w:id="25" w:name="PO_part3A2IncReason3"/>
      <w:r>
        <w:rPr>
          <w:rFonts w:hint="eastAsia" w:ascii="仿宋_GB2312" w:hAnsi="仿宋_GB2312" w:eastAsia="仿宋_GB2312" w:cs="仿宋_GB2312"/>
          <w:sz w:val="32"/>
          <w:szCs w:val="32"/>
          <w:highlight w:val="none"/>
          <w:lang w:val="en-US" w:eastAsia="zh-CN"/>
        </w:rPr>
        <w:t xml:space="preserve">与上年持平，无增减变化 </w:t>
      </w:r>
      <w:bookmarkEnd w:id="25"/>
      <w:r>
        <w:rPr>
          <w:rFonts w:hint="eastAsia" w:ascii="仿宋_GB2312" w:hAnsi="仿宋_GB2312" w:eastAsia="仿宋_GB2312" w:cs="仿宋_GB2312"/>
          <w:sz w:val="32"/>
          <w:szCs w:val="32"/>
          <w:highlight w:val="none"/>
          <w:lang w:val="en-US" w:eastAsia="zh-CN"/>
        </w:rPr>
        <w:t>；公务接待费</w:t>
      </w:r>
      <w:bookmarkStart w:id="26" w:name="PO_part3A2Amount6"/>
      <w:r>
        <w:rPr>
          <w:rFonts w:hint="eastAsia" w:ascii="仿宋_GB2312" w:hAnsi="仿宋_GB2312" w:eastAsia="仿宋_GB2312" w:cs="仿宋_GB2312"/>
          <w:sz w:val="32"/>
          <w:szCs w:val="32"/>
          <w:highlight w:val="none"/>
          <w:lang w:val="en-US" w:eastAsia="zh-CN"/>
        </w:rPr>
        <w:t>2</w:t>
      </w:r>
      <w:bookmarkEnd w:id="26"/>
      <w:r>
        <w:rPr>
          <w:rFonts w:hint="eastAsia" w:ascii="仿宋_GB2312" w:hAnsi="仿宋_GB2312" w:eastAsia="仿宋_GB2312" w:cs="仿宋_GB2312"/>
          <w:sz w:val="32"/>
          <w:szCs w:val="32"/>
          <w:highlight w:val="none"/>
          <w:lang w:val="en-US" w:eastAsia="zh-CN"/>
        </w:rPr>
        <w:t>0000元，比上年</w:t>
      </w:r>
      <w:bookmarkStart w:id="27" w:name="PO_part3A2IncAmount4"/>
      <w:r>
        <w:rPr>
          <w:rFonts w:hint="eastAsia" w:ascii="仿宋_GB2312" w:hAnsi="仿宋_GB2312" w:eastAsia="仿宋_GB2312" w:cs="仿宋_GB2312"/>
          <w:sz w:val="32"/>
          <w:szCs w:val="32"/>
          <w:highlight w:val="none"/>
          <w:lang w:val="en-US" w:eastAsia="zh-CN"/>
        </w:rPr>
        <w:t>增加0</w:t>
      </w:r>
      <w:bookmarkEnd w:id="27"/>
      <w:r>
        <w:rPr>
          <w:rFonts w:hint="eastAsia" w:ascii="仿宋_GB2312" w:hAnsi="仿宋_GB2312" w:eastAsia="仿宋_GB2312" w:cs="仿宋_GB2312"/>
          <w:sz w:val="32"/>
          <w:szCs w:val="32"/>
          <w:highlight w:val="none"/>
          <w:lang w:val="en-US" w:eastAsia="zh-CN"/>
        </w:rPr>
        <w:t>元，</w:t>
      </w:r>
      <w:bookmarkStart w:id="28" w:name="PO_part3A2IncPercent4"/>
      <w:r>
        <w:rPr>
          <w:rFonts w:hint="eastAsia" w:ascii="仿宋_GB2312" w:hAnsi="仿宋_GB2312" w:eastAsia="仿宋_GB2312" w:cs="仿宋_GB2312"/>
          <w:sz w:val="32"/>
          <w:szCs w:val="32"/>
          <w:highlight w:val="none"/>
          <w:lang w:val="en-US" w:eastAsia="zh-CN"/>
        </w:rPr>
        <w:t xml:space="preserve">增长0.0 </w:t>
      </w:r>
      <w:bookmarkEnd w:id="28"/>
      <w:r>
        <w:rPr>
          <w:rFonts w:hint="eastAsia" w:ascii="仿宋_GB2312" w:hAnsi="仿宋_GB2312" w:eastAsia="仿宋_GB2312" w:cs="仿宋_GB2312"/>
          <w:sz w:val="32"/>
          <w:szCs w:val="32"/>
          <w:highlight w:val="none"/>
          <w:lang w:val="en-US" w:eastAsia="zh-CN"/>
        </w:rPr>
        <w:t>%，</w:t>
      </w:r>
      <w:bookmarkStart w:id="29" w:name="PO_part3A2IncReason4"/>
      <w:r>
        <w:rPr>
          <w:rFonts w:hint="eastAsia" w:ascii="仿宋_GB2312" w:hAnsi="仿宋_GB2312" w:eastAsia="仿宋_GB2312" w:cs="仿宋_GB2312"/>
          <w:sz w:val="32"/>
          <w:szCs w:val="32"/>
          <w:highlight w:val="none"/>
          <w:lang w:val="en-US" w:eastAsia="zh-CN"/>
        </w:rPr>
        <w:t>与上年持平，无增减变化</w:t>
      </w:r>
      <w:bookmarkEnd w:id="29"/>
      <w:r>
        <w:rPr>
          <w:rFonts w:hint="eastAsia" w:ascii="仿宋_GB2312" w:hAnsi="仿宋_GB2312" w:eastAsia="仿宋_GB2312" w:cs="仿宋_GB2312"/>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2023年三公经费决算数为177,269.53元，其中：因公出国（境）费决算数为0元，增长0.0 %，与上年持平；公务用车购置及运行费148,684.53元（公务用车购置费0元，比上年增加0元；公务用车运行维护费决算数为148,684.53元，比上年增加28,684.53元。）比上年增加28,684.53元，增长23.90%；公务接待费决算数为28585元，比上年增加8585元，增长42.93%。</w:t>
      </w:r>
    </w:p>
    <w:p>
      <w:pPr>
        <w:widowControl/>
        <w:numPr>
          <w:ilvl w:val="0"/>
          <w:numId w:val="4"/>
        </w:numPr>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会议费支出情况：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2023年会议费决算数为45200元，比上年增加15200元，增幅50.67%。</w:t>
      </w:r>
    </w:p>
    <w:p>
      <w:pPr>
        <w:widowControl/>
        <w:numPr>
          <w:ilvl w:val="0"/>
          <w:numId w:val="4"/>
        </w:numPr>
        <w:spacing w:before="0" w:after="0" w:line="315" w:lineRule="atLeast"/>
        <w:ind w:left="0" w:leftChars="0" w:firstLine="630" w:firstLineChars="0"/>
        <w:jc w:val="left"/>
        <w:rPr>
          <w:rFonts w:ascii="仿宋" w:hAnsi="仿宋" w:eastAsia="仿宋" w:cs="仿宋"/>
          <w:kern w:val="0"/>
          <w:sz w:val="32"/>
          <w:szCs w:val="32"/>
        </w:rPr>
      </w:pPr>
      <w:r>
        <w:rPr>
          <w:rFonts w:ascii="仿宋" w:hAnsi="仿宋" w:eastAsia="仿宋" w:cs="仿宋"/>
          <w:kern w:val="0"/>
          <w:sz w:val="32"/>
          <w:szCs w:val="32"/>
        </w:rPr>
        <w:t>培训费支出情况：</w:t>
      </w:r>
    </w:p>
    <w:p>
      <w:pPr>
        <w:widowControl/>
        <w:numPr>
          <w:ilvl w:val="0"/>
          <w:numId w:val="0"/>
        </w:numPr>
        <w:spacing w:before="0" w:after="0" w:line="315" w:lineRule="atLeast"/>
        <w:ind w:left="630" w:leftChars="0"/>
        <w:jc w:val="left"/>
        <w:rPr>
          <w:rFonts w:hint="default" w:ascii="仿宋" w:hAnsi="仿宋" w:eastAsia="仿宋" w:cs="仿宋"/>
          <w:kern w:val="0"/>
          <w:sz w:val="32"/>
          <w:szCs w:val="32"/>
          <w:lang w:val="en-US"/>
        </w:rPr>
      </w:pPr>
      <w:r>
        <w:rPr>
          <w:rFonts w:hint="eastAsia" w:ascii="仿宋_GB2312" w:hAnsi="仿宋_GB2312" w:eastAsia="仿宋_GB2312" w:cs="仿宋_GB2312"/>
          <w:sz w:val="32"/>
          <w:szCs w:val="32"/>
          <w:highlight w:val="none"/>
          <w:lang w:val="en-US" w:eastAsia="zh-CN"/>
        </w:rPr>
        <w:t>2023年培训费决算数63540元，比上年增加33040元，增幅108.33%。</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b/>
          <w:bCs/>
          <w:kern w:val="0"/>
          <w:sz w:val="32"/>
          <w:szCs w:val="32"/>
        </w:rPr>
        <w:t>4.财政拨款收入、支出分析。</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根据报表项目分析财政拨款收入、支出情况，支出要按照基本支出和项目支出分析具体构成及特点。</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b/>
          <w:bCs/>
          <w:kern w:val="0"/>
          <w:sz w:val="32"/>
          <w:szCs w:val="32"/>
        </w:rPr>
        <w:t>5.非财政拨款收入分析。</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根据报表项目分析非财政拨款收入情况，按照事业收入、经营收入和其他收入等分析具体构成和特点。</w:t>
      </w:r>
    </w:p>
    <w:p>
      <w:pPr>
        <w:widowControl/>
        <w:spacing w:before="0" w:after="0" w:line="315" w:lineRule="atLeast"/>
        <w:ind w:firstLine="630"/>
        <w:jc w:val="left"/>
        <w:rPr>
          <w:rFonts w:ascii="楷体" w:hAnsi="楷体" w:eastAsia="楷体" w:cs="楷体"/>
          <w:kern w:val="0"/>
          <w:sz w:val="32"/>
          <w:szCs w:val="32"/>
        </w:rPr>
      </w:pPr>
      <w:r>
        <w:rPr>
          <w:rFonts w:ascii="楷体" w:hAnsi="楷体" w:eastAsia="楷体" w:cs="楷体"/>
          <w:b/>
          <w:bCs/>
          <w:kern w:val="0"/>
          <w:sz w:val="32"/>
          <w:szCs w:val="32"/>
        </w:rPr>
        <w:t>（三）年末结转和结余情况。</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1．根据报表项目分财政拨款结转结余和非财政拨款结转结余分析年末结转结余总体情况。按照资金来源、资金性质分析，分别分析基本支出、项目支出结转和结余情况，特别是项目经费结转和结余情况。</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2．消化结转和结余的对策。</w:t>
      </w:r>
    </w:p>
    <w:p>
      <w:pPr>
        <w:widowControl/>
        <w:spacing w:before="0" w:after="0" w:line="315" w:lineRule="atLeast"/>
        <w:ind w:firstLine="630"/>
        <w:jc w:val="left"/>
        <w:rPr>
          <w:rFonts w:ascii="楷体" w:hAnsi="楷体" w:eastAsia="楷体" w:cs="楷体"/>
          <w:kern w:val="0"/>
          <w:sz w:val="32"/>
          <w:szCs w:val="32"/>
        </w:rPr>
      </w:pPr>
      <w:r>
        <w:rPr>
          <w:rFonts w:ascii="楷体" w:hAnsi="楷体" w:eastAsia="楷体" w:cs="楷体"/>
          <w:b/>
          <w:bCs/>
          <w:kern w:val="0"/>
          <w:sz w:val="32"/>
          <w:szCs w:val="32"/>
        </w:rPr>
        <w:t>（四）与预算支出相关的其他指标分析。</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对资产、负债信息进行分析，主要分析与上年度对比情况，包括增减绝对值与幅度，增减变动主要原因。</w:t>
      </w:r>
    </w:p>
    <w:p>
      <w:pPr>
        <w:widowControl/>
        <w:spacing w:before="0" w:after="0" w:line="315" w:lineRule="atLeast"/>
        <w:ind w:firstLine="630"/>
        <w:jc w:val="left"/>
        <w:rPr>
          <w:rFonts w:ascii="楷体" w:hAnsi="楷体" w:eastAsia="楷体" w:cs="楷体"/>
          <w:kern w:val="0"/>
          <w:sz w:val="32"/>
          <w:szCs w:val="32"/>
        </w:rPr>
      </w:pPr>
      <w:r>
        <w:rPr>
          <w:rFonts w:ascii="楷体" w:hAnsi="楷体" w:eastAsia="楷体" w:cs="楷体"/>
          <w:b/>
          <w:bCs/>
          <w:kern w:val="0"/>
          <w:sz w:val="32"/>
          <w:szCs w:val="32"/>
        </w:rPr>
        <w:t>（五）绩效目标完成情况。</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1.概述项目绩效目标完成情况。</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2.概述本单位整体支出绩效目标实现情况（如有）。</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注：个别单位如在报送决算时尚未完成绩效评价工作的，可不在报告中说明。</w:t>
      </w:r>
    </w:p>
    <w:p>
      <w:pPr>
        <w:widowControl/>
        <w:spacing w:before="0" w:after="0" w:line="315" w:lineRule="atLeast"/>
        <w:ind w:firstLine="630"/>
        <w:jc w:val="left"/>
        <w:rPr>
          <w:rFonts w:ascii="楷体" w:hAnsi="楷体" w:eastAsia="楷体" w:cs="楷体"/>
          <w:kern w:val="0"/>
          <w:sz w:val="32"/>
          <w:szCs w:val="32"/>
        </w:rPr>
      </w:pPr>
      <w:r>
        <w:rPr>
          <w:rFonts w:ascii="楷体" w:hAnsi="楷体" w:eastAsia="楷体" w:cs="楷体"/>
          <w:b/>
          <w:bCs/>
          <w:kern w:val="0"/>
          <w:sz w:val="32"/>
          <w:szCs w:val="32"/>
        </w:rPr>
        <w:t>（六）当年预算执行及绩效管理中存在问题、原因及改进措施。</w:t>
      </w:r>
    </w:p>
    <w:p>
      <w:pPr>
        <w:pStyle w:val="3"/>
        <w:keepNext w:val="0"/>
        <w:keepLines w:val="0"/>
        <w:widowControl/>
        <w:spacing w:before="0" w:line="315" w:lineRule="atLeast"/>
        <w:ind w:firstLine="630"/>
        <w:jc w:val="left"/>
        <w:rPr>
          <w:rFonts w:ascii="黑体" w:hAnsi="黑体" w:eastAsia="黑体" w:cs="黑体"/>
          <w:b w:val="0"/>
          <w:bCs w:val="0"/>
          <w:kern w:val="0"/>
          <w:sz w:val="32"/>
          <w:szCs w:val="32"/>
        </w:rPr>
      </w:pPr>
      <w:r>
        <w:rPr>
          <w:rFonts w:ascii="黑体" w:hAnsi="黑体" w:eastAsia="黑体" w:cs="黑体"/>
          <w:b w:val="0"/>
          <w:bCs w:val="0"/>
          <w:color w:val="auto"/>
          <w:kern w:val="0"/>
          <w:sz w:val="32"/>
          <w:szCs w:val="32"/>
        </w:rPr>
        <w:t>三、本年度部门决算等财务工作开展情况</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（一）本单位财务管理、绩效管理、决算组织、编报、审核情况。</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（二）本单位决算及绩效信息公开工作开展情况。</w:t>
      </w:r>
    </w:p>
    <w:p>
      <w:pPr>
        <w:widowControl/>
        <w:spacing w:before="0" w:after="0" w:line="315" w:lineRule="atLeast"/>
        <w:ind w:firstLine="630"/>
        <w:jc w:val="left"/>
        <w:rPr>
          <w:rFonts w:ascii="楷体" w:hAnsi="楷体" w:eastAsia="楷体" w:cs="楷体"/>
          <w:kern w:val="0"/>
          <w:sz w:val="32"/>
          <w:szCs w:val="32"/>
        </w:rPr>
      </w:pPr>
      <w:r>
        <w:rPr>
          <w:rFonts w:ascii="楷体" w:hAnsi="楷体" w:eastAsia="楷体" w:cs="楷体"/>
          <w:kern w:val="0"/>
          <w:sz w:val="32"/>
          <w:szCs w:val="32"/>
        </w:rPr>
        <w:t>（三）对部门决算管理工作的意见和建议。</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1.自行增加的审核公式和模板，请说明设置依据。</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2.对部门决算报表修订设计的意见和建议，包括表样、指标设置、软件、审核公式、模板和编审问答等，请列出并说明修改意见。</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3.对部门决算其他管理工作的建议。例如对加强部门决算数据分析利用工作、部门决算信息化建设等建议。</w:t>
      </w:r>
    </w:p>
    <w:p>
      <w:pPr>
        <w:widowControl/>
        <w:spacing w:before="0" w:after="0" w:line="315" w:lineRule="atLeast"/>
        <w:ind w:firstLine="630"/>
        <w:jc w:val="left"/>
        <w:rPr>
          <w:rFonts w:ascii="仿宋" w:hAnsi="仿宋" w:eastAsia="仿宋" w:cs="仿宋"/>
          <w:kern w:val="0"/>
          <w:sz w:val="32"/>
          <w:szCs w:val="32"/>
        </w:rPr>
      </w:pP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注：收入支出预算执行情况分析可参考部门决算分析评价表及行政事业单位财务分析指标（附后）。</w:t>
      </w:r>
    </w:p>
    <w:p>
      <w:pPr>
        <w:widowControl/>
        <w:spacing w:before="0" w:after="0" w:line="315" w:lineRule="atLeast"/>
        <w:ind w:firstLine="630"/>
        <w:jc w:val="left"/>
        <w:rPr>
          <w:rFonts w:hint="eastAsia" w:ascii="仿宋" w:hAnsi="仿宋" w:eastAsia="仿宋" w:cs="仿宋"/>
          <w:kern w:val="0"/>
          <w:sz w:val="32"/>
          <w:szCs w:val="32"/>
          <w:lang w:eastAsia="zh-CN"/>
        </w:rPr>
      </w:pP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附：</w:t>
      </w:r>
    </w:p>
    <w:p>
      <w:pPr>
        <w:widowControl/>
        <w:spacing w:before="0" w:after="0" w:line="315" w:lineRule="atLeast"/>
        <w:ind w:firstLine="630"/>
        <w:jc w:val="center"/>
        <w:rPr>
          <w:rFonts w:ascii="仿宋" w:hAnsi="仿宋" w:eastAsia="仿宋" w:cs="仿宋"/>
          <w:kern w:val="0"/>
          <w:sz w:val="32"/>
          <w:szCs w:val="32"/>
        </w:rPr>
      </w:pPr>
    </w:p>
    <w:p>
      <w:pPr>
        <w:widowControl/>
        <w:spacing w:before="0" w:after="0" w:line="315" w:lineRule="atLeast"/>
        <w:ind w:firstLine="630"/>
        <w:jc w:val="center"/>
        <w:rPr>
          <w:rFonts w:ascii="仿宋" w:hAnsi="仿宋" w:eastAsia="仿宋" w:cs="仿宋"/>
          <w:kern w:val="0"/>
          <w:sz w:val="32"/>
          <w:szCs w:val="32"/>
        </w:rPr>
      </w:pPr>
      <w:r>
        <w:rPr>
          <w:rFonts w:ascii="仿宋" w:hAnsi="仿宋" w:eastAsia="仿宋" w:cs="仿宋"/>
          <w:kern w:val="0"/>
          <w:sz w:val="32"/>
          <w:szCs w:val="32"/>
        </w:rPr>
        <w:t>行政事业单位财务分析指标</w:t>
      </w:r>
    </w:p>
    <w:p>
      <w:pPr>
        <w:widowControl/>
        <w:spacing w:before="0" w:after="0" w:line="315" w:lineRule="atLeast"/>
        <w:ind w:firstLine="630"/>
        <w:jc w:val="center"/>
        <w:rPr>
          <w:rFonts w:ascii="仿宋" w:hAnsi="仿宋" w:eastAsia="仿宋" w:cs="仿宋"/>
          <w:kern w:val="0"/>
          <w:sz w:val="32"/>
          <w:szCs w:val="32"/>
        </w:rPr>
      </w:pPr>
    </w:p>
    <w:p>
      <w:pPr>
        <w:widowControl/>
        <w:spacing w:before="0" w:after="0" w:line="315" w:lineRule="atLeast"/>
        <w:ind w:firstLine="630"/>
        <w:jc w:val="left"/>
        <w:rPr>
          <w:rFonts w:ascii="黑体" w:hAnsi="黑体" w:eastAsia="黑体" w:cs="黑体"/>
          <w:kern w:val="0"/>
          <w:sz w:val="32"/>
          <w:szCs w:val="32"/>
        </w:rPr>
      </w:pPr>
      <w:r>
        <w:rPr>
          <w:rFonts w:ascii="黑体" w:hAnsi="黑体" w:eastAsia="黑体" w:cs="黑体"/>
          <w:kern w:val="0"/>
          <w:sz w:val="32"/>
          <w:szCs w:val="32"/>
        </w:rPr>
        <w:t>一、行政单位财务分析指标</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1.支出增长率，衡量行政单位支出的增长水平。计算公式为：</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支出增长率＝(本期支出总额÷上期支出总额-1)×100%</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2.当年预算支出完成率，衡量行政单位当年支出总预算及分项预算完成的程度。计算公式为：</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当年预算支出完成率＝年终执行数÷全年预算数×100%</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年终执行数不含上年结转和结余支出数。</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3.人均开支，衡量行政单位人均年消耗经费水平。计算公式为：</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人均开支＝本期支出数÷本期平均在职人员数×100%</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4.项目支出占总支出的比率，衡量行政单位的支出结构。计算公式为：</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项目支出比率=本期项目支出数÷本期支出总数×100%</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5.人员支出、公用支出占总支出的比率，衡量行政单位的支出结构。计算公式为：</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人员支出比率=本期人员支出数÷本期支出总数×100%</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公用支出比率=本期公用支出数÷本期支出总数×100%</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6.人均办公使用面积，衡量行政单位办公用房配备情况。计算公式为：</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人均办公使用面积=本期末单位办公用房使用面积÷本期末在职人员数</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7.人车比例，衡量行政单位公务用车配备情况。计算公式为：</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人车比例=本期末在职人员数÷本期末公务用车实有数</w:t>
      </w:r>
    </w:p>
    <w:p>
      <w:pPr>
        <w:widowControl/>
        <w:spacing w:before="0" w:after="0" w:line="315" w:lineRule="atLeast"/>
        <w:ind w:firstLine="630"/>
        <w:jc w:val="left"/>
        <w:rPr>
          <w:rFonts w:ascii="仿宋" w:hAnsi="仿宋" w:eastAsia="仿宋" w:cs="仿宋"/>
          <w:kern w:val="0"/>
          <w:sz w:val="32"/>
          <w:szCs w:val="32"/>
        </w:rPr>
      </w:pPr>
    </w:p>
    <w:p>
      <w:pPr>
        <w:widowControl/>
        <w:spacing w:before="0" w:after="0" w:line="315" w:lineRule="atLeast"/>
        <w:ind w:firstLine="630"/>
        <w:jc w:val="left"/>
        <w:rPr>
          <w:rFonts w:ascii="黑体" w:hAnsi="黑体" w:eastAsia="黑体" w:cs="黑体"/>
          <w:kern w:val="0"/>
          <w:sz w:val="32"/>
          <w:szCs w:val="32"/>
        </w:rPr>
      </w:pPr>
      <w:r>
        <w:rPr>
          <w:rFonts w:ascii="黑体" w:hAnsi="黑体" w:eastAsia="黑体" w:cs="黑体"/>
          <w:kern w:val="0"/>
          <w:sz w:val="32"/>
          <w:szCs w:val="32"/>
        </w:rPr>
        <w:t>二、事业单位财务分析指标</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1.预算收入和支出完成率，衡量事业单位收入和支出总预算及分项预算完成的程度。计算公式为：</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预算收入完成率＝年终执行数÷全年预算数×100%</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年终执行数不含上年结转和结余收入数</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预算支出完成率＝年终执行数÷全年预算数×100%</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年终执行数不含上年结转和结余支出数</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2.人员支出、公用支出占事业支出的比率，衡量事业单位事业支出结构。计算公式为：</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人员支出比率＝人员支出÷事业支出×100%</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公用支出比率＝公用支出÷事业支出×100%</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3.人均基本支出，衡量事业单位按照实际在编人数平均的基本支出水平。计算公式为：</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人均基本支出＝（基本支出-离退休人员支出）÷实际在编人数</w:t>
      </w:r>
    </w:p>
    <w:p>
      <w:pPr>
        <w:widowControl/>
        <w:spacing w:before="0" w:after="0" w:line="315" w:lineRule="atLeast"/>
        <w:ind w:firstLine="630"/>
        <w:jc w:val="left"/>
        <w:rPr>
          <w:rFonts w:ascii="仿宋" w:hAnsi="仿宋" w:eastAsia="仿宋" w:cs="仿宋"/>
          <w:kern w:val="0"/>
          <w:sz w:val="32"/>
          <w:szCs w:val="32"/>
        </w:rPr>
      </w:pP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此外，行业事业单位还可根据相关财务制度规定和分析需要增加相关分析指标，如：</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1.财政拨款依存度, 衡量部门（单位）对财政拨款的依赖程度。</w:t>
      </w:r>
    </w:p>
    <w:p>
      <w:pPr>
        <w:widowControl/>
        <w:spacing w:before="0" w:after="0" w:line="315" w:lineRule="atLeast"/>
        <w:ind w:firstLine="630"/>
        <w:jc w:val="left"/>
        <w:rPr>
          <w:rFonts w:ascii="仿宋" w:hAnsi="仿宋" w:eastAsia="仿宋" w:cs="仿宋"/>
          <w:kern w:val="0"/>
          <w:sz w:val="32"/>
          <w:szCs w:val="32"/>
        </w:rPr>
      </w:pPr>
      <w:r>
        <w:rPr>
          <w:rFonts w:ascii="仿宋" w:hAnsi="仿宋" w:eastAsia="仿宋" w:cs="仿宋"/>
          <w:kern w:val="0"/>
          <w:sz w:val="32"/>
          <w:szCs w:val="32"/>
        </w:rPr>
        <w:t>财政拨款依存度＝财政拨款收入÷收入总额×100%</w:t>
      </w:r>
    </w:p>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0AFF" w:usb1="00007843" w:usb2="00000001" w:usb3="00000000" w:csb0="400001BF" w:csb1="DFF7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华文中宋">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rPr>
        <w:rFonts w:ascii="宋体" w:hAnsi="宋体" w:eastAsia="宋体" w:cs="宋体"/>
        <w:sz w:val="18"/>
      </w:rPr>
      <w:fldChar w:fldCharType="begin"/>
    </w:r>
    <w:r>
      <w:rPr>
        <w:rFonts w:ascii="宋体" w:hAnsi="宋体" w:eastAsia="宋体" w:cs="宋体"/>
        <w:sz w:val="18"/>
      </w:rPr>
      <w:instrText xml:space="preserve"> PAGE </w:instrText>
    </w:r>
    <w:r>
      <w:rPr>
        <w:rFonts w:ascii="宋体" w:hAnsi="宋体" w:eastAsia="宋体" w:cs="宋体"/>
        <w:sz w:val="18"/>
      </w:rPr>
      <w:fldChar w:fldCharType="separate"/>
    </w:r>
    <w:r>
      <w:rPr>
        <w:rFonts w:ascii="宋体" w:hAnsi="宋体" w:eastAsia="宋体" w:cs="宋体"/>
        <w:sz w:val="18"/>
      </w:rPr>
      <w:t>7</w:t>
    </w:r>
    <w:r>
      <w:rPr>
        <w:rFonts w:ascii="宋体" w:hAnsi="宋体" w:eastAsia="宋体" w:cs="宋体"/>
        <w:sz w:val="18"/>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C2B13"/>
    <w:multiLevelType w:val="singleLevel"/>
    <w:tmpl w:val="056C2B13"/>
    <w:lvl w:ilvl="0" w:tentative="0">
      <w:start w:val="2"/>
      <w:numFmt w:val="decimal"/>
      <w:suff w:val="nothing"/>
      <w:lvlText w:val="%1．"/>
      <w:lvlJc w:val="left"/>
    </w:lvl>
  </w:abstractNum>
  <w:abstractNum w:abstractNumId="1">
    <w:nsid w:val="0E3C1619"/>
    <w:multiLevelType w:val="singleLevel"/>
    <w:tmpl w:val="0E3C1619"/>
    <w:lvl w:ilvl="0" w:tentative="0">
      <w:start w:val="2"/>
      <w:numFmt w:val="decimal"/>
      <w:suff w:val="nothing"/>
      <w:lvlText w:val="（%1）"/>
      <w:lvlJc w:val="left"/>
    </w:lvl>
  </w:abstractNum>
  <w:abstractNum w:abstractNumId="2">
    <w:nsid w:val="6CB71204"/>
    <w:multiLevelType w:val="singleLevel"/>
    <w:tmpl w:val="6CB71204"/>
    <w:lvl w:ilvl="0" w:tentative="0">
      <w:start w:val="2"/>
      <w:numFmt w:val="decimal"/>
      <w:suff w:val="nothing"/>
      <w:lvlText w:val="%1．"/>
      <w:lvlJc w:val="left"/>
    </w:lvl>
  </w:abstractNum>
  <w:abstractNum w:abstractNumId="3">
    <w:nsid w:val="7D08E515"/>
    <w:multiLevelType w:val="singleLevel"/>
    <w:tmpl w:val="7D08E515"/>
    <w:lvl w:ilvl="0" w:tentative="0">
      <w:start w:val="2"/>
      <w:numFmt w:val="decimal"/>
      <w:suff w:val="nothing"/>
      <w:lvlText w:val="（%1）"/>
      <w:lvlJc w:val="left"/>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A3MzBjYzdiYTY5ZWU4ZGVlY2RjZjAyNGEwMzllNDIifQ=="/>
  </w:docVars>
  <w:rsids>
    <w:rsidRoot w:val="002C0BEC"/>
    <w:rsid w:val="002C0BEC"/>
    <w:rsid w:val="002D05C0"/>
    <w:rsid w:val="00BC487B"/>
    <w:rsid w:val="019711C1"/>
    <w:rsid w:val="0365737E"/>
    <w:rsid w:val="0BA336F8"/>
    <w:rsid w:val="0E407A3D"/>
    <w:rsid w:val="0E61169D"/>
    <w:rsid w:val="12307DC9"/>
    <w:rsid w:val="14020918"/>
    <w:rsid w:val="152B49E3"/>
    <w:rsid w:val="15381FBA"/>
    <w:rsid w:val="17995FC6"/>
    <w:rsid w:val="1AF81761"/>
    <w:rsid w:val="1B6531D3"/>
    <w:rsid w:val="1BC54FEC"/>
    <w:rsid w:val="1BEC449D"/>
    <w:rsid w:val="1E032C1C"/>
    <w:rsid w:val="25551BC9"/>
    <w:rsid w:val="2AF65B82"/>
    <w:rsid w:val="2B055F53"/>
    <w:rsid w:val="2B14398C"/>
    <w:rsid w:val="2B5841C1"/>
    <w:rsid w:val="2EB76D77"/>
    <w:rsid w:val="2F072EF4"/>
    <w:rsid w:val="31B70420"/>
    <w:rsid w:val="33947D60"/>
    <w:rsid w:val="342A2472"/>
    <w:rsid w:val="34730F1A"/>
    <w:rsid w:val="35011BEB"/>
    <w:rsid w:val="35356C74"/>
    <w:rsid w:val="37514969"/>
    <w:rsid w:val="391D25A6"/>
    <w:rsid w:val="3C7B760A"/>
    <w:rsid w:val="452E517F"/>
    <w:rsid w:val="4580164A"/>
    <w:rsid w:val="46AA0C99"/>
    <w:rsid w:val="47B0796B"/>
    <w:rsid w:val="48C64827"/>
    <w:rsid w:val="4C6E39DB"/>
    <w:rsid w:val="52A21614"/>
    <w:rsid w:val="5698489A"/>
    <w:rsid w:val="594E6A9C"/>
    <w:rsid w:val="59513E7A"/>
    <w:rsid w:val="5A91789C"/>
    <w:rsid w:val="5B68677C"/>
    <w:rsid w:val="5E3D4F56"/>
    <w:rsid w:val="5F6D501F"/>
    <w:rsid w:val="6384309D"/>
    <w:rsid w:val="67561F05"/>
    <w:rsid w:val="68B867F3"/>
    <w:rsid w:val="6ABE0C43"/>
    <w:rsid w:val="6E296616"/>
    <w:rsid w:val="75F47132"/>
    <w:rsid w:val="7BBA0F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6"/>
    <w:qFormat/>
    <w:uiPriority w:val="9"/>
    <w:pPr>
      <w:keepNext/>
      <w:keepLines/>
      <w:spacing w:before="240" w:after="0"/>
      <w:outlineLvl w:val="0"/>
    </w:pPr>
    <w:rPr>
      <w:rFonts w:asciiTheme="majorHAnsi" w:hAnsiTheme="majorHAnsi" w:eastAsiaTheme="majorEastAsia" w:cstheme="majorBidi"/>
      <w:color w:val="2F5597" w:themeColor="accent1" w:themeShade="BF"/>
      <w:sz w:val="32"/>
      <w:szCs w:val="32"/>
    </w:rPr>
  </w:style>
  <w:style w:type="paragraph" w:styleId="3">
    <w:name w:val="heading 2"/>
    <w:basedOn w:val="1"/>
    <w:next w:val="1"/>
    <w:link w:val="7"/>
    <w:qFormat/>
    <w:uiPriority w:val="9"/>
    <w:pPr>
      <w:keepNext/>
      <w:keepLines/>
      <w:spacing w:before="40" w:after="0"/>
      <w:outlineLvl w:val="1"/>
    </w:pPr>
    <w:rPr>
      <w:rFonts w:asciiTheme="majorHAnsi" w:hAnsiTheme="majorHAnsi" w:eastAsiaTheme="majorEastAsia" w:cstheme="majorBidi"/>
      <w:color w:val="2F5597" w:themeColor="accent1" w:themeShade="BF"/>
      <w:sz w:val="26"/>
      <w:szCs w:val="26"/>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character" w:customStyle="1" w:styleId="6">
    <w:name w:val="Heading 1 Char"/>
    <w:basedOn w:val="5"/>
    <w:link w:val="2"/>
    <w:qFormat/>
    <w:uiPriority w:val="9"/>
    <w:rPr>
      <w:rFonts w:asciiTheme="majorHAnsi" w:hAnsiTheme="majorHAnsi" w:eastAsiaTheme="majorEastAsia" w:cstheme="majorBidi"/>
      <w:color w:val="2F5597" w:themeColor="accent1" w:themeShade="BF"/>
      <w:sz w:val="32"/>
      <w:szCs w:val="32"/>
    </w:rPr>
  </w:style>
  <w:style w:type="character" w:customStyle="1" w:styleId="7">
    <w:name w:val="Heading 2 Char"/>
    <w:basedOn w:val="5"/>
    <w:link w:val="3"/>
    <w:qFormat/>
    <w:uiPriority w:val="9"/>
    <w:rPr>
      <w:rFonts w:asciiTheme="majorHAnsi" w:hAnsiTheme="majorHAnsi" w:eastAsiaTheme="majorEastAsia" w:cstheme="majorBidi"/>
      <w:color w:val="2F5597" w:themeColor="accent1" w:themeShade="BF"/>
      <w:sz w:val="26"/>
      <w:szCs w:val="2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6036</Words>
  <Characters>8070</Characters>
  <Lines>0</Lines>
  <Paragraphs>0</Paragraphs>
  <TotalTime>1</TotalTime>
  <ScaleCrop>false</ScaleCrop>
  <LinksUpToDate>false</LinksUpToDate>
  <CharactersWithSpaces>8114</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2023-11-08T06:42:00Z</dcterms:created>
  <dc:creator>jlw</dc:creator>
  <cp:lastModifiedBy>Administrator</cp:lastModifiedBy>
  <dcterms:modified xsi:type="dcterms:W3CDTF">2024-09-24T10:39:46Z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CBB4B64031E34802ADA7C1CEE61B314A_12</vt:lpwstr>
  </property>
</Properties>
</file>