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宋体"/>
          <w:b/>
          <w:bCs/>
          <w:w w:val="90"/>
          <w:kern w:val="0"/>
          <w:sz w:val="44"/>
          <w:szCs w:val="44"/>
        </w:rPr>
      </w:pPr>
      <w:r>
        <w:rPr>
          <w:rFonts w:hint="eastAsia" w:ascii="黑体" w:hAnsi="黑体" w:eastAsia="黑体" w:cs="宋体"/>
          <w:b/>
          <w:bCs/>
          <w:w w:val="90"/>
          <w:kern w:val="0"/>
          <w:sz w:val="44"/>
          <w:szCs w:val="44"/>
        </w:rPr>
        <w:t>遂溪县广东大华糖业有限公司“2·26”</w:t>
      </w:r>
    </w:p>
    <w:p>
      <w:pPr>
        <w:jc w:val="center"/>
        <w:rPr>
          <w:rFonts w:ascii="黑体" w:hAnsi="黑体" w:eastAsia="黑体" w:cs="宋体"/>
          <w:b/>
          <w:bCs/>
          <w:w w:val="90"/>
          <w:kern w:val="0"/>
          <w:sz w:val="44"/>
          <w:szCs w:val="44"/>
        </w:rPr>
      </w:pPr>
      <w:r>
        <w:rPr>
          <w:rFonts w:hint="eastAsia" w:ascii="黑体" w:hAnsi="黑体" w:eastAsia="黑体" w:cs="宋体"/>
          <w:b/>
          <w:bCs/>
          <w:w w:val="90"/>
          <w:kern w:val="0"/>
          <w:sz w:val="44"/>
          <w:szCs w:val="44"/>
        </w:rPr>
        <w:t>物体打击伤亡事故调查报告</w:t>
      </w:r>
    </w:p>
    <w:p>
      <w:pPr>
        <w:ind w:firstLine="640" w:firstLineChars="200"/>
        <w:rPr>
          <w:rFonts w:ascii="仿宋" w:hAnsi="仿宋" w:eastAsia="仿宋"/>
          <w:sz w:val="32"/>
          <w:szCs w:val="32"/>
        </w:rPr>
      </w:pPr>
    </w:p>
    <w:p>
      <w:pPr>
        <w:spacing w:line="540" w:lineRule="exact"/>
        <w:ind w:firstLine="640" w:firstLineChars="200"/>
        <w:rPr>
          <w:rFonts w:ascii="仿宋" w:hAnsi="仿宋" w:eastAsia="仿宋"/>
          <w:sz w:val="32"/>
          <w:szCs w:val="32"/>
        </w:rPr>
      </w:pPr>
      <w:r>
        <w:rPr>
          <w:rFonts w:hint="eastAsia" w:ascii="仿宋" w:hAnsi="仿宋" w:eastAsia="仿宋"/>
          <w:sz w:val="32"/>
          <w:szCs w:val="32"/>
        </w:rPr>
        <w:t>2021年2月26日9时10分左右，遂溪县广东大华糖业有限公司二楼制炼车间分蜜工段在操作5#A2分离吊篮筛的                               过程中，发生一起物体打击伤亡事故，造成一人受重伤、一人受轻伤，受重伤者经送医抢救无效死亡，直接经济损失(死者赔偿金一次性为132万元；伤者医疗费用共为2.86万元，赔偿费现阶段工伤保险部门正在核查中，还无法统计)。</w:t>
      </w:r>
    </w:p>
    <w:p>
      <w:pPr>
        <w:spacing w:line="540" w:lineRule="exact"/>
        <w:ind w:firstLine="640" w:firstLineChars="200"/>
        <w:rPr>
          <w:rFonts w:ascii="仿宋" w:hAnsi="仿宋" w:eastAsia="仿宋" w:cs="宋体"/>
          <w:kern w:val="0"/>
          <w:sz w:val="32"/>
          <w:szCs w:val="32"/>
        </w:rPr>
      </w:pPr>
      <w:r>
        <w:rPr>
          <w:rFonts w:hint="eastAsia" w:ascii="仿宋" w:hAnsi="仿宋" w:eastAsia="仿宋"/>
          <w:sz w:val="32"/>
          <w:szCs w:val="32"/>
        </w:rPr>
        <w:t>依据《中华人民共和国安全生产法》、《生产安全事故报告和调查处理条例》（国务院令第493号）和《广东省生产安全事故调查处理办法》（粤府办[2015]55号）等法律法规的规定，经县政府授权，于2021年3月1日成立了由</w:t>
      </w:r>
      <w:r>
        <w:rPr>
          <w:rFonts w:hint="eastAsia" w:ascii="仿宋" w:hAnsi="仿宋" w:eastAsia="仿宋" w:cs="宋体"/>
          <w:kern w:val="0"/>
          <w:sz w:val="32"/>
          <w:szCs w:val="32"/>
        </w:rPr>
        <w:t>县纪委监委、县应急管理局、县公安局、县人社局、县总工会、</w:t>
      </w:r>
      <w:r>
        <w:rPr>
          <w:rFonts w:hint="eastAsia" w:ascii="仿宋" w:hAnsi="仿宋" w:eastAsia="仿宋"/>
          <w:sz w:val="32"/>
          <w:szCs w:val="32"/>
        </w:rPr>
        <w:t>县科工贸和信息化局</w:t>
      </w:r>
      <w:r>
        <w:rPr>
          <w:rFonts w:hint="eastAsia" w:ascii="仿宋" w:hAnsi="仿宋" w:eastAsia="仿宋" w:cs="宋体"/>
          <w:kern w:val="0"/>
          <w:sz w:val="32"/>
          <w:szCs w:val="32"/>
        </w:rPr>
        <w:t>、北坡镇人民政府</w:t>
      </w:r>
      <w:r>
        <w:rPr>
          <w:rFonts w:hint="eastAsia" w:ascii="仿宋" w:hAnsi="仿宋" w:eastAsia="仿宋"/>
          <w:sz w:val="32"/>
          <w:szCs w:val="32"/>
        </w:rPr>
        <w:t>等有关单位人员组成“遂溪县广东大华糖业有限公司“2·26”物体打击伤亡事故调查组”（以下简称事故调查组），调查组下设综合组、技术组、责任追究组、事故调查及应急处理评估组，全面负责事故调查工作。</w:t>
      </w:r>
    </w:p>
    <w:p>
      <w:pPr>
        <w:spacing w:line="54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事故调查组按照“四不放过”和“科学严谨、依法依规、实事求是、注重实效”的原则，通过现场勘察、调查取证、综合分析，查明了事故发生的经过、原因、人员伤亡和直接经济损失等情况，认定了事故性质和责任，提出了对有关责任人员和责任单位的处理建议，并针对事故原因及暴露出的问题，提出了事故防范措施。现将有关情况报告如下：</w:t>
      </w:r>
    </w:p>
    <w:p>
      <w:pPr>
        <w:spacing w:line="540" w:lineRule="exact"/>
        <w:ind w:firstLine="643" w:firstLineChars="200"/>
        <w:rPr>
          <w:rFonts w:ascii="仿宋" w:hAnsi="仿宋" w:eastAsia="仿宋" w:cs="宋体"/>
          <w:b/>
          <w:bCs/>
          <w:kern w:val="0"/>
          <w:sz w:val="32"/>
          <w:szCs w:val="32"/>
        </w:rPr>
      </w:pPr>
      <w:r>
        <w:rPr>
          <w:rFonts w:hint="eastAsia" w:ascii="仿宋" w:hAnsi="仿宋" w:eastAsia="仿宋" w:cs="宋体"/>
          <w:b/>
          <w:bCs/>
          <w:kern w:val="0"/>
          <w:sz w:val="32"/>
          <w:szCs w:val="32"/>
        </w:rPr>
        <w:t>一、基本情况</w:t>
      </w:r>
    </w:p>
    <w:p>
      <w:pPr>
        <w:spacing w:line="540" w:lineRule="exact"/>
        <w:ind w:firstLine="643" w:firstLineChars="200"/>
        <w:rPr>
          <w:rFonts w:ascii="仿宋" w:hAnsi="仿宋" w:eastAsia="仿宋" w:cs="宋体"/>
          <w:b/>
          <w:bCs/>
          <w:kern w:val="0"/>
          <w:sz w:val="32"/>
          <w:szCs w:val="32"/>
        </w:rPr>
      </w:pPr>
      <w:r>
        <w:rPr>
          <w:rFonts w:hint="eastAsia" w:ascii="仿宋" w:hAnsi="仿宋" w:eastAsia="仿宋" w:cs="宋体"/>
          <w:b/>
          <w:bCs/>
          <w:kern w:val="0"/>
          <w:sz w:val="32"/>
          <w:szCs w:val="32"/>
        </w:rPr>
        <w:t>（一）事故单位概况及涉事设备基本情况</w:t>
      </w:r>
    </w:p>
    <w:p>
      <w:pPr>
        <w:spacing w:line="540" w:lineRule="exact"/>
        <w:ind w:firstLine="643" w:firstLineChars="200"/>
        <w:rPr>
          <w:rFonts w:ascii="仿宋" w:hAnsi="仿宋" w:eastAsia="仿宋" w:cs="宋体"/>
          <w:kern w:val="0"/>
          <w:sz w:val="32"/>
          <w:szCs w:val="32"/>
        </w:rPr>
      </w:pPr>
      <w:r>
        <w:rPr>
          <w:rFonts w:hint="eastAsia" w:ascii="仿宋" w:hAnsi="仿宋" w:eastAsia="仿宋" w:cs="宋体"/>
          <w:b/>
          <w:bCs/>
          <w:kern w:val="0"/>
          <w:sz w:val="32"/>
          <w:szCs w:val="32"/>
        </w:rPr>
        <w:t>1、事故单位概况。</w:t>
      </w:r>
      <w:r>
        <w:rPr>
          <w:rFonts w:hint="eastAsia" w:ascii="仿宋" w:hAnsi="仿宋" w:eastAsia="仿宋" w:cs="宋体"/>
          <w:kern w:val="0"/>
          <w:sz w:val="32"/>
          <w:szCs w:val="32"/>
        </w:rPr>
        <w:t>遂溪县广东大华糖业有限公司前身是遂溪县国营北坡糖厂，1985年建厂，2000年6月改制后成立广东大华糖业有限公司，2006年12月由广东恒福糖业集团有限公司收购，成为广东恒福糖业集团有限公司下属的一个独立注册公司，2020年8月又转由湛江市鼎龙湾集团公司接管，成为其旗下的一家独立注册制糖公司，注册资本是2398万元，类型是有限责任公司（自然人投资或控股），法人是杜海冰，统一社会信用代码：91440823723843140Ｕ，住所：遂溪县北坡镇。该公司与遂溪县大华甘蔗种植专业合作社（投资比例28.85%）、湛江南粤资产管理有限公司（投资比例18.302%）及广东南粤银行股份有限公司（投资比例7.00531%）合股经营，占地面积32万平方米，有固定员工349人(今年榨季期有467人)，甘蔗压榨能力6000吨/日，年可产一级白糖6万吨;内设7个职能管理部门，7个生产车间（室），主要产品：白砂糖、赤砂糖、复合肥料、酵母等。</w:t>
      </w:r>
    </w:p>
    <w:p>
      <w:pPr>
        <w:spacing w:line="540" w:lineRule="exact"/>
        <w:ind w:firstLine="643" w:firstLineChars="200"/>
        <w:rPr>
          <w:rFonts w:ascii="仿宋" w:hAnsi="仿宋" w:eastAsia="仿宋" w:cs="宋体"/>
          <w:kern w:val="0"/>
          <w:sz w:val="32"/>
          <w:szCs w:val="32"/>
        </w:rPr>
      </w:pPr>
      <w:r>
        <w:rPr>
          <w:rFonts w:hint="eastAsia" w:ascii="仿宋" w:hAnsi="仿宋" w:eastAsia="仿宋" w:cs="宋体"/>
          <w:b/>
          <w:bCs/>
          <w:kern w:val="0"/>
          <w:sz w:val="32"/>
          <w:szCs w:val="32"/>
        </w:rPr>
        <w:t>2、5#A2分离吊篮筛的基本情况。</w:t>
      </w:r>
      <w:r>
        <w:rPr>
          <w:rFonts w:hint="eastAsia" w:ascii="仿宋" w:hAnsi="仿宋" w:eastAsia="仿宋" w:cs="仿宋_GB2312"/>
          <w:kern w:val="0"/>
          <w:sz w:val="32"/>
          <w:szCs w:val="32"/>
        </w:rPr>
        <w:t>发生事故的是5#A2分离吊篮筛，位于二楼制炼车间分蜜工段东北侧,其设备名称为：XZ-1200（Ｂ）离心机,该离心机最大内径×高为1200mm×875mm，主轴转速分四档：1000转/分、500转/分、220转/分、110转/分、最大分离因数636，最大装料量500公斤,其主要作用是在离心力的作用下，将悬浮液中具有一定大小的结晶体粒子，分离出来，形成白砂糖。其离心机原是广州重型机器厂制造（此厂现已撤销），1989年11月在公</w:t>
      </w:r>
      <w:r>
        <w:rPr>
          <w:rFonts w:hint="eastAsia" w:ascii="仿宋" w:hAnsi="仿宋" w:eastAsia="仿宋" w:cs="宋体"/>
          <w:kern w:val="0"/>
          <w:sz w:val="32"/>
          <w:szCs w:val="32"/>
        </w:rPr>
        <w:t>司安装完成并开始使用。自安装至今没有大修过，平时日常维修是除锈、上漆，每年榨季机修时期和榨季结束后将外壳拆下，换上新筛篮网进行一次小维修。2020－2021榨季，因公司新购进3台新式分离机，原来的1－6号吊篮筛分离机用做备用，即每班用2－3小时，或在糖粒过多时加用。</w:t>
      </w:r>
    </w:p>
    <w:p>
      <w:pPr>
        <w:spacing w:line="540" w:lineRule="exact"/>
        <w:rPr>
          <w:rFonts w:ascii="仿宋" w:hAnsi="仿宋" w:eastAsia="仿宋" w:cs="宋体"/>
          <w:kern w:val="0"/>
          <w:sz w:val="32"/>
          <w:szCs w:val="32"/>
        </w:rPr>
      </w:pPr>
      <w:r>
        <w:rPr>
          <w:rFonts w:hint="eastAsia" w:ascii="仿宋" w:hAnsi="仿宋" w:eastAsia="仿宋" w:cs="宋体"/>
          <w:color w:val="0000FF"/>
          <w:kern w:val="0"/>
          <w:sz w:val="32"/>
          <w:szCs w:val="32"/>
        </w:rPr>
        <w:t>　　</w:t>
      </w:r>
      <w:r>
        <w:rPr>
          <w:rFonts w:hint="eastAsia" w:ascii="仿宋" w:hAnsi="仿宋" w:eastAsia="仿宋" w:cs="宋体"/>
          <w:kern w:val="0"/>
          <w:sz w:val="32"/>
          <w:szCs w:val="32"/>
        </w:rPr>
        <w:t>当时当班的是甲班（</w:t>
      </w:r>
      <w:r>
        <w:rPr>
          <w:rFonts w:hint="eastAsia" w:ascii="仿宋" w:hAnsi="仿宋" w:eastAsia="仿宋"/>
          <w:sz w:val="32"/>
          <w:szCs w:val="32"/>
        </w:rPr>
        <w:t>制炼车间分蜜工段在榨季期间的上班班次分为：甲、乙、丙班</w:t>
      </w:r>
      <w:r>
        <w:rPr>
          <w:rFonts w:hint="eastAsia" w:ascii="仿宋" w:hAnsi="仿宋" w:eastAsia="仿宋" w:cs="宋体"/>
          <w:kern w:val="0"/>
          <w:sz w:val="32"/>
          <w:szCs w:val="32"/>
        </w:rPr>
        <w:t>），上班时间：9时－17时，共有9人在</w:t>
      </w:r>
      <w:r>
        <w:rPr>
          <w:rFonts w:hint="eastAsia" w:ascii="仿宋" w:hAnsi="仿宋" w:eastAsia="仿宋"/>
          <w:sz w:val="32"/>
          <w:szCs w:val="32"/>
        </w:rPr>
        <w:t>分蜜工段</w:t>
      </w:r>
      <w:r>
        <w:rPr>
          <w:rFonts w:hint="eastAsia" w:ascii="仿宋" w:hAnsi="仿宋" w:eastAsia="仿宋" w:cs="宋体"/>
          <w:kern w:val="0"/>
          <w:sz w:val="32"/>
          <w:szCs w:val="32"/>
        </w:rPr>
        <w:t>上班，在5#Ａ2分离机上班的是邱海鸥（死者）和蔡虾贤（伤者），公司在榨季期间为每一位职工都购买了保额为93万元的意外保险</w:t>
      </w:r>
      <w:r>
        <w:rPr>
          <w:rFonts w:hint="eastAsia" w:ascii="仿宋" w:hAnsi="仿宋" w:eastAsia="仿宋" w:cs="宋体"/>
          <w:b/>
          <w:bCs/>
          <w:kern w:val="0"/>
          <w:sz w:val="32"/>
          <w:szCs w:val="32"/>
        </w:rPr>
        <w:t>。</w:t>
      </w:r>
    </w:p>
    <w:p>
      <w:pPr>
        <w:spacing w:line="540" w:lineRule="exact"/>
        <w:ind w:firstLine="643" w:firstLineChars="200"/>
        <w:rPr>
          <w:rFonts w:ascii="仿宋" w:hAnsi="仿宋" w:eastAsia="仿宋" w:cs="宋体"/>
          <w:b/>
          <w:bCs/>
          <w:kern w:val="0"/>
          <w:sz w:val="32"/>
          <w:szCs w:val="32"/>
        </w:rPr>
      </w:pPr>
      <w:r>
        <w:rPr>
          <w:rFonts w:hint="eastAsia" w:ascii="仿宋" w:hAnsi="仿宋" w:eastAsia="仿宋" w:cs="宋体"/>
          <w:b/>
          <w:bCs/>
          <w:kern w:val="0"/>
          <w:sz w:val="32"/>
          <w:szCs w:val="32"/>
        </w:rPr>
        <w:t>（二）现场勘验情况</w:t>
      </w:r>
    </w:p>
    <w:p>
      <w:pPr>
        <w:spacing w:line="54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2021年2月26日</w:t>
      </w:r>
      <w:r>
        <w:rPr>
          <w:rFonts w:hint="eastAsia" w:ascii="仿宋" w:hAnsi="仿宋" w:eastAsia="仿宋" w:cs="宋体"/>
          <w:kern w:val="0"/>
          <w:sz w:val="32"/>
          <w:szCs w:val="32"/>
          <w:lang w:val="en-US" w:eastAsia="zh-CN"/>
        </w:rPr>
        <w:t>上</w:t>
      </w:r>
      <w:bookmarkStart w:id="0" w:name="_GoBack"/>
      <w:bookmarkEnd w:id="0"/>
      <w:r>
        <w:rPr>
          <w:rFonts w:hint="eastAsia" w:ascii="仿宋" w:hAnsi="仿宋" w:eastAsia="仿宋" w:cs="宋体"/>
          <w:kern w:val="0"/>
          <w:sz w:val="32"/>
          <w:szCs w:val="32"/>
        </w:rPr>
        <w:t>午10时30分，根据《现场勘验检查记录》（遂公刑勘[2021]61号）和事故调查组对事故现场进行了勘验，事故地点位于二楼制炼车间</w:t>
      </w:r>
      <w:r>
        <w:rPr>
          <w:rFonts w:hint="eastAsia" w:ascii="仿宋" w:hAnsi="仿宋" w:eastAsia="仿宋"/>
          <w:sz w:val="32"/>
          <w:szCs w:val="32"/>
        </w:rPr>
        <w:t>分蜜工段</w:t>
      </w:r>
      <w:r>
        <w:rPr>
          <w:rFonts w:hint="eastAsia" w:ascii="仿宋" w:hAnsi="仿宋" w:eastAsia="仿宋" w:cs="宋体"/>
          <w:color w:val="000000" w:themeColor="text1"/>
          <w:kern w:val="0"/>
          <w:sz w:val="32"/>
          <w:szCs w:val="32"/>
        </w:rPr>
        <w:t>5#Ａ2分离机旁，正面3.4米处地上有一四分之一的不锈钢分离机外壳和一吊篮筛，地上洒满白糖，两柱之间放有一张桌子和椅子，吊篮筛裂开部分腐蚀严重、有漏洞，表面锈迹斑斑，5#Ａ2分离机后面也有撕裂开的外壳和一些分离机零部件，整个</w:t>
      </w:r>
      <w:r>
        <w:rPr>
          <w:rFonts w:hint="eastAsia" w:ascii="仿宋" w:hAnsi="仿宋" w:eastAsia="仿宋" w:cs="宋体"/>
          <w:kern w:val="0"/>
          <w:sz w:val="32"/>
          <w:szCs w:val="32"/>
        </w:rPr>
        <w:t>分蜜工段已被北坡派出所用警戒线围着。</w:t>
      </w:r>
    </w:p>
    <w:p>
      <w:pPr>
        <w:spacing w:line="540" w:lineRule="exact"/>
        <w:ind w:firstLine="643" w:firstLineChars="200"/>
        <w:rPr>
          <w:rFonts w:ascii="仿宋" w:hAnsi="仿宋" w:eastAsia="仿宋" w:cs="宋体"/>
          <w:b/>
          <w:bCs/>
          <w:kern w:val="0"/>
          <w:sz w:val="32"/>
          <w:szCs w:val="32"/>
        </w:rPr>
      </w:pPr>
      <w:r>
        <w:rPr>
          <w:rFonts w:hint="eastAsia" w:ascii="仿宋" w:hAnsi="仿宋" w:eastAsia="仿宋" w:cs="宋体"/>
          <w:b/>
          <w:bCs/>
          <w:kern w:val="0"/>
          <w:sz w:val="32"/>
          <w:szCs w:val="32"/>
        </w:rPr>
        <w:t>（三）技术调查情况</w:t>
      </w:r>
    </w:p>
    <w:p>
      <w:pPr>
        <w:spacing w:line="54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根据《广东大华糖业有限公司“2.26”物体打击伤亡事故技术分析报告》，事故现场5#A2分离吊篮筛腐蚀严重，分离吊篮筛与外壳连接部分有的已断裂；在腐蚀环境中使用，长时间失修，没有更换，造成吊篮筛表面和连接点有漏洞、腐蚀严重，形成重大安全隐患；停机后设备检查，没有深入吊篮筛内部清洗，安全检查粗心大意，未能发现吊篮筛已经存在的重大安全隐患；未能识别出离心机转鼓爆裂安全风险，清理作业风险分析、风险防控措施不到位，未对5#A2分离吊篮筛采取有效的风险管控措施。</w:t>
      </w:r>
    </w:p>
    <w:p>
      <w:pPr>
        <w:numPr>
          <w:ilvl w:val="0"/>
          <w:numId w:val="1"/>
        </w:numPr>
        <w:spacing w:line="540" w:lineRule="exact"/>
        <w:ind w:firstLine="643" w:firstLineChars="200"/>
        <w:rPr>
          <w:rFonts w:ascii="仿宋" w:hAnsi="仿宋" w:eastAsia="仿宋" w:cs="宋体"/>
          <w:b/>
          <w:bCs/>
          <w:color w:val="000000" w:themeColor="text1"/>
          <w:kern w:val="0"/>
          <w:sz w:val="32"/>
          <w:szCs w:val="32"/>
        </w:rPr>
      </w:pPr>
      <w:r>
        <w:rPr>
          <w:rFonts w:hint="eastAsia" w:ascii="仿宋" w:hAnsi="仿宋" w:eastAsia="仿宋" w:cs="宋体"/>
          <w:b/>
          <w:bCs/>
          <w:color w:val="000000" w:themeColor="text1"/>
          <w:kern w:val="0"/>
          <w:sz w:val="32"/>
          <w:szCs w:val="32"/>
        </w:rPr>
        <w:t>部门监管情况</w:t>
      </w:r>
    </w:p>
    <w:p>
      <w:pPr>
        <w:spacing w:line="540" w:lineRule="exact"/>
        <w:rPr>
          <w:rFonts w:ascii="仿宋" w:hAnsi="仿宋" w:eastAsia="仿宋" w:cs="宋体"/>
          <w:bCs/>
          <w:color w:val="000000" w:themeColor="text1"/>
          <w:kern w:val="0"/>
          <w:sz w:val="32"/>
          <w:szCs w:val="32"/>
        </w:rPr>
      </w:pPr>
      <w:r>
        <w:rPr>
          <w:rFonts w:hint="eastAsia" w:ascii="仿宋" w:hAnsi="仿宋" w:eastAsia="仿宋" w:cs="宋体"/>
          <w:b/>
          <w:bCs/>
          <w:color w:val="000000" w:themeColor="text1"/>
          <w:kern w:val="0"/>
          <w:sz w:val="32"/>
          <w:szCs w:val="32"/>
        </w:rPr>
        <w:t>　　1.遂溪县科工贸和信息化局</w:t>
      </w:r>
      <w:r>
        <w:rPr>
          <w:rFonts w:hint="eastAsia" w:ascii="仿宋" w:hAnsi="仿宋" w:eastAsia="仿宋" w:cs="宋体"/>
          <w:color w:val="000000" w:themeColor="text1"/>
          <w:kern w:val="0"/>
          <w:sz w:val="32"/>
          <w:szCs w:val="32"/>
        </w:rPr>
        <w:t>：</w:t>
      </w:r>
      <w:r>
        <w:rPr>
          <w:rFonts w:hint="eastAsia" w:ascii="仿宋" w:hAnsi="仿宋" w:eastAsia="仿宋" w:cs="宋体"/>
          <w:bCs/>
          <w:color w:val="000000" w:themeColor="text1"/>
          <w:kern w:val="0"/>
          <w:sz w:val="32"/>
          <w:szCs w:val="32"/>
        </w:rPr>
        <w:t>2020年12月3日，该局牵头召开了企业安全生产工作会议，下发传达了各级各部门有关安全生产文件和行业相关标准。县政府有关领导和该局领导在榨季期间（春节前）分别对全县8间糖业公司进行督查检查，在2021年1月7日结合预防新型冠状肺炎工作情况，联合县应急部门、县公安部门、县市场监管部门进行联合检查，督促企业对存在的隐患进行了及时的整改和安全防范措施。</w:t>
      </w:r>
    </w:p>
    <w:p>
      <w:pPr>
        <w:spacing w:line="540" w:lineRule="exact"/>
        <w:ind w:firstLine="643" w:firstLineChars="200"/>
        <w:rPr>
          <w:rFonts w:ascii="仿宋" w:hAnsi="仿宋" w:eastAsia="仿宋" w:cs="宋体"/>
          <w:bCs/>
          <w:color w:val="000000" w:themeColor="text1"/>
          <w:kern w:val="0"/>
          <w:sz w:val="32"/>
          <w:szCs w:val="32"/>
        </w:rPr>
      </w:pPr>
      <w:r>
        <w:rPr>
          <w:rFonts w:hint="eastAsia" w:ascii="仿宋" w:hAnsi="仿宋" w:eastAsia="仿宋" w:cs="宋体"/>
          <w:b/>
          <w:bCs/>
          <w:color w:val="000000" w:themeColor="text1"/>
          <w:kern w:val="0"/>
          <w:sz w:val="32"/>
          <w:szCs w:val="32"/>
        </w:rPr>
        <w:t>2.遂溪县北坡镇人民政府</w:t>
      </w:r>
      <w:r>
        <w:rPr>
          <w:rFonts w:hint="eastAsia" w:ascii="仿宋" w:hAnsi="仿宋" w:eastAsia="仿宋" w:cs="宋体"/>
          <w:color w:val="000000" w:themeColor="text1"/>
          <w:kern w:val="0"/>
          <w:sz w:val="32"/>
          <w:szCs w:val="32"/>
        </w:rPr>
        <w:t>：</w:t>
      </w:r>
      <w:r>
        <w:rPr>
          <w:rFonts w:hint="eastAsia" w:ascii="仿宋" w:hAnsi="仿宋" w:eastAsia="仿宋" w:cs="宋体"/>
          <w:bCs/>
          <w:color w:val="000000" w:themeColor="text1"/>
          <w:kern w:val="0"/>
          <w:sz w:val="32"/>
          <w:szCs w:val="32"/>
        </w:rPr>
        <w:t>2020年底召开企业安全生产工作会议，多次在榨季期间，对企业各车间进行定期和不定期安全生产检查，并要求企业对发现的问题及时整改。</w:t>
      </w:r>
    </w:p>
    <w:p>
      <w:pPr>
        <w:spacing w:line="540" w:lineRule="exact"/>
        <w:ind w:firstLine="643" w:firstLineChars="200"/>
        <w:rPr>
          <w:rFonts w:ascii="仿宋" w:hAnsi="仿宋" w:eastAsia="仿宋" w:cs="宋体"/>
          <w:b/>
          <w:bCs/>
          <w:kern w:val="0"/>
          <w:sz w:val="32"/>
          <w:szCs w:val="32"/>
        </w:rPr>
      </w:pPr>
      <w:r>
        <w:rPr>
          <w:rFonts w:hint="eastAsia" w:ascii="仿宋" w:hAnsi="仿宋" w:eastAsia="仿宋" w:cs="宋体"/>
          <w:b/>
          <w:bCs/>
          <w:kern w:val="0"/>
          <w:sz w:val="32"/>
          <w:szCs w:val="32"/>
        </w:rPr>
        <w:t>二、事故发生经过和救援情况</w:t>
      </w:r>
    </w:p>
    <w:p>
      <w:pPr>
        <w:spacing w:line="540" w:lineRule="exact"/>
        <w:ind w:firstLine="643" w:firstLineChars="200"/>
        <w:rPr>
          <w:rFonts w:ascii="仿宋" w:hAnsi="仿宋" w:eastAsia="仿宋" w:cs="宋体"/>
          <w:b/>
          <w:bCs/>
          <w:kern w:val="0"/>
          <w:sz w:val="32"/>
          <w:szCs w:val="32"/>
        </w:rPr>
      </w:pPr>
      <w:r>
        <w:rPr>
          <w:rFonts w:hint="eastAsia" w:ascii="仿宋" w:hAnsi="仿宋" w:eastAsia="仿宋" w:cs="宋体"/>
          <w:b/>
          <w:bCs/>
          <w:kern w:val="0"/>
          <w:sz w:val="32"/>
          <w:szCs w:val="32"/>
        </w:rPr>
        <w:t>（一）事故发生经过</w:t>
      </w:r>
    </w:p>
    <w:p>
      <w:pPr>
        <w:spacing w:line="54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2021年2月26日早上9时正，广东大华糖业有限公司制炼车间分蜜工段组织交班，由丙班交甲班。甲班接班后开始工作，当时分蜜工段有9人上班，员工邱海欧（死者）和蔡虾贤（伤者）负责5#A2分离机的操作；约9时07分，第一次将糖粒放入吊篮筛中筛糖，由邱海欧负责操作分蜜吊篮筛四速电机（在5#A2分离机旁边），蔡虾贤在二个水泥柱之间观察机器，当糖粒放进吊篮筛后（约有300多公斤），邱海欧将分蜜吊篮筛四速电机的转速表按照1键到4键的顺序操作按键；约9时10分，当邱海欧将操作台的转速表旋转到4的位置时，此时吊篮筛中的转速将近1000转/分，在离心力和糖粒的冲击下，碳钢材质的筛篮突然撕裂开撞击外壳，致使外壳脱离筛篮（广东大华糖业有限公司事故鉴定报告），飞出击中正在操作分蜜吊篮筛四速电机的邱海欧，使邱海欧飞出距离5#A2分离机7.4米的水泥地面上，导致其创伤性脑出血和多脏器损伤并出血，在送医抢救无效死亡。蔡虾贤在筛篮突然撕裂开后被飞出的糖粒击中身体多个部位，并受到惊吓受轻伤。</w:t>
      </w:r>
    </w:p>
    <w:p>
      <w:pPr>
        <w:spacing w:line="540" w:lineRule="exact"/>
        <w:ind w:firstLine="643" w:firstLineChars="200"/>
        <w:rPr>
          <w:rFonts w:ascii="仿宋" w:hAnsi="仿宋" w:eastAsia="仿宋" w:cs="宋体"/>
          <w:b/>
          <w:kern w:val="0"/>
          <w:sz w:val="32"/>
          <w:szCs w:val="32"/>
        </w:rPr>
      </w:pPr>
      <w:r>
        <w:rPr>
          <w:rFonts w:hint="eastAsia" w:ascii="仿宋" w:hAnsi="仿宋" w:eastAsia="仿宋" w:cs="宋体"/>
          <w:b/>
          <w:kern w:val="0"/>
          <w:sz w:val="32"/>
          <w:szCs w:val="32"/>
        </w:rPr>
        <w:t>（二）事故救援情况</w:t>
      </w:r>
    </w:p>
    <w:p>
      <w:pPr>
        <w:spacing w:line="540" w:lineRule="exact"/>
        <w:ind w:firstLine="643" w:firstLineChars="200"/>
        <w:rPr>
          <w:rFonts w:ascii="仿宋" w:hAnsi="仿宋" w:eastAsia="仿宋" w:cs="宋体"/>
          <w:b/>
          <w:kern w:val="0"/>
          <w:sz w:val="32"/>
          <w:szCs w:val="32"/>
        </w:rPr>
      </w:pPr>
      <w:r>
        <w:rPr>
          <w:rFonts w:hint="eastAsia" w:ascii="仿宋" w:hAnsi="仿宋" w:eastAsia="仿宋" w:cs="宋体"/>
          <w:b/>
          <w:kern w:val="0"/>
          <w:sz w:val="32"/>
          <w:szCs w:val="32"/>
        </w:rPr>
        <w:t>1.现场救援情况</w:t>
      </w:r>
    </w:p>
    <w:p>
      <w:pPr>
        <w:spacing w:line="54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事故发生后，在分蜜工段工作的其它人听到响声，急忙过来救援，发现邱海欧躺倒在地面上，头部还有血迹；</w:t>
      </w:r>
      <w:r>
        <w:rPr>
          <w:rFonts w:hint="eastAsia" w:ascii="仿宋" w:hAnsi="仿宋" w:eastAsia="仿宋"/>
          <w:sz w:val="32"/>
          <w:szCs w:val="32"/>
        </w:rPr>
        <w:t>甲班班长翟英钟急忙将情况报公司郭振速总经理，郭振速</w:t>
      </w:r>
      <w:r>
        <w:rPr>
          <w:rFonts w:hint="eastAsia" w:ascii="仿宋" w:hAnsi="仿宋" w:eastAsia="仿宋" w:cs="宋体"/>
          <w:bCs/>
          <w:kern w:val="0"/>
          <w:sz w:val="32"/>
          <w:szCs w:val="32"/>
        </w:rPr>
        <w:t>（当时在公司办公室）接报后指示公司相关人员赶赴现场救援和上报相关单位，并从办公室赶到现场指挥人员抢救；公司生产部副部长陈志军正在制炼车间一楼车间检查，听到响声立即上二楼，看到现状后报“120”急救电话、北坡派出所、北坡镇人民政府和县相关职能部门；约9时15分，“120”急救人员、北坡镇人民政府和北坡镇派出所工作人员先后到达现场，约9时30分，陈志军报“110”。“120”急救人员在现场紧急抢救后立即将二位伤者送往广东省广前糖业发展有限公司平原医院，10时05分，重伤者经抢救无效死亡。约10时30分县公安局刑警大队和法警、县应急管理部门、</w:t>
      </w:r>
      <w:r>
        <w:rPr>
          <w:rFonts w:hint="eastAsia" w:ascii="仿宋" w:hAnsi="仿宋" w:eastAsia="仿宋"/>
          <w:sz w:val="32"/>
          <w:szCs w:val="32"/>
        </w:rPr>
        <w:t>县科工贸和信息化局</w:t>
      </w:r>
      <w:r>
        <w:rPr>
          <w:rFonts w:hint="eastAsia" w:ascii="仿宋" w:hAnsi="仿宋" w:eastAsia="仿宋" w:cs="宋体"/>
          <w:bCs/>
          <w:kern w:val="0"/>
          <w:sz w:val="32"/>
          <w:szCs w:val="32"/>
        </w:rPr>
        <w:t>、县市场监管部门等人员先后到达现场，展开救援和勘察工作。</w:t>
      </w:r>
    </w:p>
    <w:p>
      <w:pPr>
        <w:spacing w:line="540" w:lineRule="exact"/>
        <w:ind w:firstLine="643" w:firstLineChars="200"/>
        <w:rPr>
          <w:rFonts w:ascii="仿宋" w:hAnsi="仿宋" w:eastAsia="仿宋" w:cs="宋体"/>
          <w:b/>
          <w:kern w:val="0"/>
          <w:sz w:val="32"/>
          <w:szCs w:val="32"/>
        </w:rPr>
      </w:pPr>
      <w:r>
        <w:rPr>
          <w:rFonts w:hint="eastAsia" w:ascii="仿宋" w:hAnsi="仿宋" w:eastAsia="仿宋" w:cs="宋体"/>
          <w:b/>
          <w:kern w:val="0"/>
          <w:sz w:val="32"/>
          <w:szCs w:val="32"/>
        </w:rPr>
        <w:t>2.善后处置情况</w:t>
      </w:r>
    </w:p>
    <w:p>
      <w:pPr>
        <w:spacing w:line="54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接事故报告后，县应急管理局、县公安局、北坡镇政府等单位相关人员立即赶赴现场并组织处理事故事宜和做好预防工作，以防次生事件，同时责令广东大华糖业有限公司制炼车间分蜜工段立即停产整顿，撤出该车间的所有人员，全面展开事故的调查工作。另外，还聘请专家对事故进行技术鉴定。</w:t>
      </w:r>
    </w:p>
    <w:p>
      <w:pPr>
        <w:spacing w:line="54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事故发生后，遂溪县广东大华糖业有限公司打电话告诉死者家属，并连续多次与死者家属进行调解；2021年3月4日上午，双方在北坡镇人民政府的调解和见证下，最终达成赔偿协议，一次性赔偿死者家属132万元（其中保险赔偿927026万元,广东大华糖业有限公司赔偿392974万元），并签订《人民调解协议书》（编号：（2021）遂北民调字第003号）。2021年3月6日，死者邱海欧尸体在遂溪县殡仪馆火化，善后事宜得到妥善处理。</w:t>
      </w:r>
    </w:p>
    <w:p>
      <w:pPr>
        <w:spacing w:line="54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轻伤者蔡虾贤在事故中受伤后，首先送往广东省广前糖业发展有限公司平原医院就医，后转湛江市中心人民医院，经医生确诊受轻伤，现在该医院留医。</w:t>
      </w:r>
    </w:p>
    <w:p>
      <w:pPr>
        <w:spacing w:line="540" w:lineRule="exact"/>
        <w:ind w:firstLine="643" w:firstLineChars="200"/>
        <w:rPr>
          <w:rFonts w:ascii="仿宋" w:hAnsi="仿宋" w:eastAsia="仿宋" w:cs="宋体"/>
          <w:b/>
          <w:kern w:val="0"/>
          <w:sz w:val="32"/>
          <w:szCs w:val="32"/>
        </w:rPr>
      </w:pPr>
      <w:r>
        <w:rPr>
          <w:rFonts w:hint="eastAsia" w:ascii="仿宋" w:hAnsi="仿宋" w:eastAsia="仿宋" w:cs="宋体"/>
          <w:b/>
          <w:kern w:val="0"/>
          <w:sz w:val="32"/>
          <w:szCs w:val="32"/>
        </w:rPr>
        <w:t>（三）事故应急处置评估</w:t>
      </w:r>
    </w:p>
    <w:p>
      <w:pPr>
        <w:spacing w:line="54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事故发生后，遂溪县相关职能部门及北坡镇人民政府在事故处理过程中密切配合、协调联动应急处置。经评估，事故应急处置指挥得当、分工明确、及时有效，没有造成次生事故，也没有造成社会负面影响。</w:t>
      </w:r>
    </w:p>
    <w:p>
      <w:pPr>
        <w:spacing w:line="540" w:lineRule="exact"/>
        <w:ind w:firstLine="643" w:firstLineChars="200"/>
        <w:rPr>
          <w:rFonts w:ascii="仿宋" w:hAnsi="仿宋" w:eastAsia="仿宋" w:cs="宋体"/>
          <w:b/>
          <w:kern w:val="0"/>
          <w:sz w:val="32"/>
          <w:szCs w:val="32"/>
        </w:rPr>
      </w:pPr>
      <w:r>
        <w:rPr>
          <w:rFonts w:hint="eastAsia" w:ascii="仿宋" w:hAnsi="仿宋" w:eastAsia="仿宋" w:cs="宋体"/>
          <w:b/>
          <w:kern w:val="0"/>
          <w:sz w:val="32"/>
          <w:szCs w:val="32"/>
        </w:rPr>
        <w:t>三、事故造成的人员伤亡及经济损失情况</w:t>
      </w:r>
    </w:p>
    <w:p>
      <w:pPr>
        <w:spacing w:line="540" w:lineRule="exact"/>
        <w:ind w:firstLine="321" w:firstLineChars="100"/>
        <w:rPr>
          <w:rFonts w:ascii="仿宋" w:hAnsi="仿宋" w:eastAsia="仿宋" w:cs="宋体"/>
          <w:bCs/>
          <w:kern w:val="0"/>
          <w:sz w:val="32"/>
          <w:szCs w:val="32"/>
        </w:rPr>
      </w:pPr>
      <w:r>
        <w:rPr>
          <w:rFonts w:hint="eastAsia" w:ascii="仿宋" w:hAnsi="仿宋" w:eastAsia="仿宋" w:cs="宋体"/>
          <w:b/>
          <w:kern w:val="0"/>
          <w:sz w:val="32"/>
          <w:szCs w:val="32"/>
        </w:rPr>
        <w:t>（一）事故造成人员伤亡情况。</w:t>
      </w:r>
      <w:r>
        <w:rPr>
          <w:rFonts w:hint="eastAsia" w:ascii="仿宋" w:hAnsi="仿宋" w:eastAsia="仿宋" w:cs="宋体"/>
          <w:bCs/>
          <w:kern w:val="0"/>
          <w:sz w:val="32"/>
          <w:szCs w:val="32"/>
        </w:rPr>
        <w:t>此次事故造成1人死亡、1人轻伤。死者邱海欧，男，汉族，1969年9月22日出生，现年52岁，育有一儿二女，家庭住址：遂溪县北坡镇北坡老圩中街9号；伤者蔡虾贤，男，汉族，1994年9月2日出生，现年27岁（父母已亡，家中只有自己。），未婚，家庭住址：遂溪县北坡镇牛巷村95号，现在湛江市中心人民医院留医。</w:t>
      </w:r>
    </w:p>
    <w:p>
      <w:pPr>
        <w:spacing w:line="540" w:lineRule="exact"/>
        <w:ind w:firstLine="643" w:firstLineChars="200"/>
        <w:rPr>
          <w:rFonts w:ascii="仿宋" w:hAnsi="仿宋" w:eastAsia="仿宋"/>
          <w:sz w:val="32"/>
          <w:szCs w:val="32"/>
        </w:rPr>
      </w:pPr>
      <w:r>
        <w:rPr>
          <w:rFonts w:hint="eastAsia" w:ascii="仿宋" w:hAnsi="仿宋" w:eastAsia="仿宋" w:cs="宋体"/>
          <w:b/>
          <w:kern w:val="0"/>
          <w:sz w:val="32"/>
          <w:szCs w:val="32"/>
        </w:rPr>
        <w:t>（二）事故造成经济损失情况。</w:t>
      </w:r>
      <w:r>
        <w:rPr>
          <w:rFonts w:hint="eastAsia" w:ascii="仿宋" w:hAnsi="仿宋" w:eastAsia="仿宋" w:cs="宋体"/>
          <w:bCs/>
          <w:kern w:val="0"/>
          <w:sz w:val="32"/>
          <w:szCs w:val="32"/>
        </w:rPr>
        <w:t>事故造成直接经济损失</w:t>
      </w:r>
      <w:r>
        <w:rPr>
          <w:rFonts w:hint="eastAsia" w:ascii="仿宋" w:hAnsi="仿宋" w:eastAsia="仿宋"/>
          <w:sz w:val="32"/>
          <w:szCs w:val="32"/>
        </w:rPr>
        <w:t>(死者赔偿金一次性共为132万元，伤者医疗费用共为2.86万元，但工伤赔偿现阶段还无法统计)。</w:t>
      </w:r>
    </w:p>
    <w:p>
      <w:pPr>
        <w:spacing w:line="540" w:lineRule="exact"/>
        <w:ind w:firstLine="643" w:firstLineChars="200"/>
        <w:rPr>
          <w:rFonts w:ascii="仿宋" w:hAnsi="仿宋" w:eastAsia="仿宋" w:cs="宋体"/>
          <w:bCs/>
          <w:kern w:val="0"/>
          <w:sz w:val="32"/>
          <w:szCs w:val="32"/>
        </w:rPr>
      </w:pPr>
      <w:r>
        <w:rPr>
          <w:rFonts w:hint="eastAsia" w:ascii="仿宋" w:hAnsi="仿宋" w:eastAsia="仿宋" w:cs="宋体"/>
          <w:b/>
          <w:kern w:val="0"/>
          <w:sz w:val="32"/>
          <w:szCs w:val="32"/>
        </w:rPr>
        <w:t>四、事故原因和事故性质</w:t>
      </w:r>
    </w:p>
    <w:p>
      <w:pPr>
        <w:spacing w:line="540" w:lineRule="exact"/>
        <w:ind w:firstLine="643" w:firstLineChars="200"/>
        <w:rPr>
          <w:rFonts w:ascii="仿宋" w:hAnsi="仿宋" w:eastAsia="仿宋" w:cs="宋体"/>
          <w:b/>
          <w:kern w:val="0"/>
          <w:sz w:val="32"/>
          <w:szCs w:val="32"/>
        </w:rPr>
      </w:pPr>
      <w:r>
        <w:rPr>
          <w:rFonts w:hint="eastAsia" w:ascii="仿宋" w:hAnsi="仿宋" w:eastAsia="仿宋" w:cs="宋体"/>
          <w:b/>
          <w:kern w:val="0"/>
          <w:sz w:val="32"/>
          <w:szCs w:val="32"/>
        </w:rPr>
        <w:t>（一）事故原因</w:t>
      </w:r>
    </w:p>
    <w:p>
      <w:pPr>
        <w:spacing w:line="540" w:lineRule="exact"/>
        <w:ind w:firstLine="643" w:firstLineChars="200"/>
        <w:rPr>
          <w:rFonts w:ascii="仿宋" w:hAnsi="仿宋" w:eastAsia="仿宋" w:cs="宋体"/>
          <w:b/>
          <w:kern w:val="0"/>
          <w:sz w:val="32"/>
          <w:szCs w:val="32"/>
        </w:rPr>
      </w:pPr>
      <w:r>
        <w:rPr>
          <w:rFonts w:hint="eastAsia" w:ascii="仿宋" w:hAnsi="仿宋" w:eastAsia="仿宋" w:cs="宋体"/>
          <w:b/>
          <w:kern w:val="0"/>
          <w:sz w:val="32"/>
          <w:szCs w:val="32"/>
        </w:rPr>
        <w:t>1.直接原因</w:t>
      </w:r>
    </w:p>
    <w:p>
      <w:pPr>
        <w:spacing w:line="54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吊篮筛在长期且高速运转，由于筛篮碳钢材质有腐蚀，发生金属疲劳，筛篮产生裂痕，造成整体变形，重心失衡，在高速运转时离心力的作用下，产生晃动，晃动的力度超过刹车的承受力后，刹车无法刹停分蜜机，造成筛篮与外壳相撞击，使外壳固定螺栓断裂，外壳与设备分离高速飞出，击中正在操作分蜜吊篮筛四速电机的邱海欧，使邱海欧飞出距离5#A2分离机7.4米的水泥地面上，导致其创伤性脑出血和多脏器损伤并出血，在送医抢救无效死亡。同时也造成在二水泥柱之间察看设备的蔡虾贤在筛篮突然撕裂开后被飞出的糖粒击中身体多个部位，并受到惊吓受轻伤。</w:t>
      </w:r>
    </w:p>
    <w:p>
      <w:pPr>
        <w:spacing w:line="540" w:lineRule="exact"/>
        <w:ind w:firstLine="643" w:firstLineChars="200"/>
        <w:rPr>
          <w:rFonts w:ascii="仿宋" w:hAnsi="仿宋" w:eastAsia="仿宋" w:cs="宋体"/>
          <w:b/>
          <w:color w:val="000000" w:themeColor="text1"/>
          <w:kern w:val="0"/>
          <w:sz w:val="32"/>
          <w:szCs w:val="32"/>
        </w:rPr>
      </w:pPr>
      <w:r>
        <w:rPr>
          <w:rFonts w:hint="eastAsia" w:ascii="仿宋" w:hAnsi="仿宋" w:eastAsia="仿宋" w:cs="宋体"/>
          <w:b/>
          <w:color w:val="000000" w:themeColor="text1"/>
          <w:kern w:val="0"/>
          <w:sz w:val="32"/>
          <w:szCs w:val="32"/>
        </w:rPr>
        <w:t>2.间接原因</w:t>
      </w:r>
    </w:p>
    <w:p>
      <w:pPr>
        <w:spacing w:line="540" w:lineRule="exact"/>
        <w:ind w:firstLine="640" w:firstLineChars="200"/>
        <w:rPr>
          <w:rFonts w:ascii="仿宋" w:hAnsi="仿宋" w:eastAsia="仿宋" w:cs="宋体"/>
          <w:bCs/>
          <w:color w:val="000000" w:themeColor="text1"/>
          <w:kern w:val="0"/>
          <w:sz w:val="32"/>
          <w:szCs w:val="32"/>
        </w:rPr>
      </w:pPr>
      <w:r>
        <w:rPr>
          <w:rFonts w:hint="eastAsia" w:ascii="仿宋" w:hAnsi="仿宋" w:eastAsia="仿宋" w:cs="宋体"/>
          <w:bCs/>
          <w:color w:val="000000" w:themeColor="text1"/>
          <w:kern w:val="0"/>
          <w:sz w:val="32"/>
          <w:szCs w:val="32"/>
        </w:rPr>
        <w:t>一是企业安全生产主体责任落实不到位。未在有较大危险因素的生产经营场所设置明显的安全警示标志</w:t>
      </w:r>
      <w:r>
        <w:rPr>
          <w:rStyle w:val="12"/>
          <w:rFonts w:hint="eastAsia" w:ascii="仿宋" w:hAnsi="仿宋" w:eastAsia="仿宋" w:cs="宋体"/>
          <w:bCs/>
          <w:color w:val="000000" w:themeColor="text1"/>
          <w:kern w:val="0"/>
          <w:sz w:val="32"/>
          <w:szCs w:val="32"/>
        </w:rPr>
        <w:footnoteReference w:id="0"/>
      </w:r>
      <w:r>
        <w:rPr>
          <w:rFonts w:hint="eastAsia" w:ascii="仿宋" w:hAnsi="仿宋" w:eastAsia="仿宋" w:cs="宋体"/>
          <w:bCs/>
          <w:color w:val="000000" w:themeColor="text1"/>
          <w:kern w:val="0"/>
          <w:sz w:val="32"/>
          <w:szCs w:val="32"/>
        </w:rPr>
        <w:t>；未健全生产安全事故隐患排查治理制度，生产安全设备隐患排查不深入，未采取技术管理措施，及时发现并消除事故隐患</w:t>
      </w:r>
      <w:r>
        <w:rPr>
          <w:rStyle w:val="12"/>
          <w:rFonts w:hint="eastAsia" w:ascii="仿宋" w:hAnsi="仿宋" w:eastAsia="仿宋" w:cs="宋体"/>
          <w:bCs/>
          <w:color w:val="000000" w:themeColor="text1"/>
          <w:kern w:val="0"/>
          <w:sz w:val="32"/>
          <w:szCs w:val="32"/>
        </w:rPr>
        <w:footnoteReference w:id="1"/>
      </w:r>
      <w:r>
        <w:rPr>
          <w:rFonts w:hint="eastAsia" w:ascii="仿宋" w:hAnsi="仿宋" w:eastAsia="仿宋" w:cs="宋体"/>
          <w:bCs/>
          <w:color w:val="000000" w:themeColor="text1"/>
          <w:kern w:val="0"/>
          <w:sz w:val="32"/>
          <w:szCs w:val="32"/>
        </w:rPr>
        <w:t>；在榨季机修前，没有对5#A2吊篮筛碳钢材质进行彻底的除锈蚀维修，未能及时发现5#A2吊篮筛有裂纹</w:t>
      </w:r>
      <w:r>
        <w:rPr>
          <w:rFonts w:hint="eastAsia" w:ascii="仿宋" w:hAnsi="仿宋" w:eastAsia="仿宋" w:cs="宋体"/>
          <w:bCs/>
          <w:color w:val="000000" w:themeColor="text1"/>
          <w:kern w:val="0"/>
          <w:sz w:val="32"/>
          <w:szCs w:val="32"/>
          <w:vertAlign w:val="superscript"/>
        </w:rPr>
        <w:t>3</w:t>
      </w:r>
      <w:r>
        <w:rPr>
          <w:rFonts w:hint="eastAsia" w:ascii="仿宋" w:hAnsi="仿宋" w:eastAsia="仿宋" w:cs="宋体"/>
          <w:bCs/>
          <w:color w:val="000000" w:themeColor="text1"/>
          <w:kern w:val="0"/>
          <w:sz w:val="32"/>
          <w:szCs w:val="32"/>
        </w:rPr>
        <w:t>；上班现场安全管理不到位，未及时将适用的设备安全管理标准规范的相关要求转化为本单位的规章制度和操作规程</w:t>
      </w:r>
      <w:r>
        <w:rPr>
          <w:rStyle w:val="12"/>
          <w:rFonts w:hint="eastAsia" w:ascii="仿宋" w:hAnsi="仿宋" w:eastAsia="仿宋" w:cs="宋体"/>
          <w:bCs/>
          <w:color w:val="000000" w:themeColor="text1"/>
          <w:kern w:val="0"/>
          <w:sz w:val="32"/>
          <w:szCs w:val="32"/>
        </w:rPr>
        <w:footnoteReference w:id="2"/>
      </w:r>
      <w:r>
        <w:rPr>
          <w:rFonts w:hint="eastAsia" w:ascii="仿宋" w:hAnsi="仿宋" w:eastAsia="仿宋" w:cs="宋体"/>
          <w:bCs/>
          <w:color w:val="000000" w:themeColor="text1"/>
          <w:kern w:val="0"/>
          <w:sz w:val="32"/>
          <w:szCs w:val="32"/>
        </w:rPr>
        <w:t>；没有投入足到的安全管理资金，未能依据使用条件确定机器的大修期，离心机未制定和落实正确的小、中、大修周期，导致未进行按标准规定的大修转鼓强度复核；未组织开展离心机危险源辨识和安全风险分析</w:t>
      </w:r>
      <w:r>
        <w:rPr>
          <w:rStyle w:val="12"/>
          <w:rFonts w:hint="eastAsia" w:ascii="仿宋" w:hAnsi="仿宋" w:eastAsia="仿宋" w:cs="宋体"/>
          <w:bCs/>
          <w:color w:val="000000" w:themeColor="text1"/>
          <w:kern w:val="0"/>
          <w:sz w:val="32"/>
          <w:szCs w:val="32"/>
        </w:rPr>
        <w:footnoteReference w:id="3"/>
      </w:r>
      <w:r>
        <w:rPr>
          <w:rFonts w:hint="eastAsia" w:ascii="仿宋" w:hAnsi="仿宋" w:eastAsia="仿宋" w:cs="宋体"/>
          <w:bCs/>
          <w:color w:val="000000" w:themeColor="text1"/>
          <w:kern w:val="0"/>
          <w:sz w:val="32"/>
          <w:szCs w:val="32"/>
        </w:rPr>
        <w:t>；企业未能严格落实《XZ-1200(B)离心机使用说明书》中的《分蜜操作注意事项》第8.3.3条</w:t>
      </w:r>
      <w:r>
        <w:rPr>
          <w:rStyle w:val="12"/>
          <w:rFonts w:hint="eastAsia" w:ascii="仿宋" w:hAnsi="仿宋" w:eastAsia="仿宋" w:cs="宋体"/>
          <w:bCs/>
          <w:color w:val="000000" w:themeColor="text1"/>
          <w:kern w:val="0"/>
          <w:sz w:val="32"/>
          <w:szCs w:val="32"/>
        </w:rPr>
        <w:footnoteReference w:id="4"/>
      </w:r>
      <w:r>
        <w:rPr>
          <w:rFonts w:hint="eastAsia" w:ascii="仿宋" w:hAnsi="仿宋" w:eastAsia="仿宋" w:cs="宋体"/>
          <w:bCs/>
          <w:color w:val="000000" w:themeColor="text1"/>
          <w:kern w:val="0"/>
          <w:sz w:val="32"/>
          <w:szCs w:val="32"/>
        </w:rPr>
        <w:t>的规定。</w:t>
      </w:r>
    </w:p>
    <w:p>
      <w:pPr>
        <w:spacing w:line="540" w:lineRule="exact"/>
        <w:ind w:firstLine="640" w:firstLineChars="200"/>
        <w:rPr>
          <w:rFonts w:ascii="仿宋" w:hAnsi="仿宋" w:eastAsia="仿宋" w:cs="宋体"/>
          <w:bCs/>
          <w:color w:val="000000" w:themeColor="text1"/>
          <w:kern w:val="0"/>
          <w:sz w:val="32"/>
          <w:szCs w:val="32"/>
        </w:rPr>
      </w:pPr>
      <w:r>
        <w:rPr>
          <w:rFonts w:hint="eastAsia" w:ascii="仿宋" w:hAnsi="仿宋" w:eastAsia="仿宋" w:cs="宋体"/>
          <w:bCs/>
          <w:color w:val="000000" w:themeColor="text1"/>
          <w:kern w:val="0"/>
          <w:sz w:val="32"/>
          <w:szCs w:val="32"/>
        </w:rPr>
        <w:t>二是遂溪县北坡镇政府属地管理责任落实不到位，对属地企业检查监督不全面，不能及时发现遂溪县广东大华糖业有限公司5#A2吊篮筛存在的安全隐患。</w:t>
      </w:r>
    </w:p>
    <w:p>
      <w:pPr>
        <w:spacing w:line="540" w:lineRule="exact"/>
        <w:ind w:firstLine="640" w:firstLineChars="200"/>
        <w:rPr>
          <w:rFonts w:ascii="仿宋" w:hAnsi="仿宋" w:eastAsia="仿宋" w:cs="宋体"/>
          <w:bCs/>
          <w:color w:val="000000" w:themeColor="text1"/>
          <w:kern w:val="0"/>
          <w:sz w:val="32"/>
          <w:szCs w:val="32"/>
        </w:rPr>
      </w:pPr>
      <w:r>
        <w:rPr>
          <w:rFonts w:hint="eastAsia" w:ascii="仿宋" w:hAnsi="仿宋" w:eastAsia="仿宋" w:cs="宋体"/>
          <w:bCs/>
          <w:color w:val="000000" w:themeColor="text1"/>
          <w:kern w:val="0"/>
          <w:sz w:val="32"/>
          <w:szCs w:val="32"/>
        </w:rPr>
        <w:t>三是遂溪县科工贸和信息化局作为制糖行业的主管部门，对遂溪县广东大华糖业有限公司的安全生产和日常检查工作不全面。</w:t>
      </w:r>
    </w:p>
    <w:p>
      <w:pPr>
        <w:spacing w:line="540" w:lineRule="exact"/>
        <w:ind w:firstLine="643" w:firstLineChars="200"/>
        <w:rPr>
          <w:rFonts w:ascii="仿宋" w:hAnsi="仿宋" w:eastAsia="仿宋" w:cs="宋体"/>
          <w:b/>
          <w:kern w:val="0"/>
          <w:sz w:val="32"/>
          <w:szCs w:val="32"/>
        </w:rPr>
      </w:pPr>
      <w:r>
        <w:rPr>
          <w:rFonts w:hint="eastAsia" w:ascii="仿宋" w:hAnsi="仿宋" w:eastAsia="仿宋" w:cs="宋体"/>
          <w:b/>
          <w:kern w:val="0"/>
          <w:sz w:val="32"/>
          <w:szCs w:val="32"/>
        </w:rPr>
        <w:t>（二）事故性质</w:t>
      </w:r>
    </w:p>
    <w:p>
      <w:pPr>
        <w:spacing w:line="54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经调查、分析认定，遂溪县广东大华糖业有限公司“2.26”物体打击事故属于安全生产责任事故。</w:t>
      </w:r>
    </w:p>
    <w:p>
      <w:pPr>
        <w:spacing w:line="540" w:lineRule="exact"/>
        <w:ind w:firstLine="643" w:firstLineChars="200"/>
        <w:rPr>
          <w:rFonts w:ascii="仿宋" w:hAnsi="仿宋" w:eastAsia="仿宋" w:cs="宋体"/>
          <w:b/>
          <w:kern w:val="0"/>
          <w:sz w:val="32"/>
          <w:szCs w:val="32"/>
        </w:rPr>
      </w:pPr>
      <w:r>
        <w:rPr>
          <w:rFonts w:hint="eastAsia" w:ascii="仿宋" w:hAnsi="仿宋" w:eastAsia="仿宋" w:cs="宋体"/>
          <w:b/>
          <w:kern w:val="0"/>
          <w:sz w:val="32"/>
          <w:szCs w:val="32"/>
        </w:rPr>
        <w:t xml:space="preserve">五、事故责任认定和处理建议 </w:t>
      </w:r>
    </w:p>
    <w:p>
      <w:pPr>
        <w:spacing w:line="540" w:lineRule="exact"/>
        <w:ind w:firstLine="643" w:firstLineChars="200"/>
        <w:rPr>
          <w:rFonts w:ascii="仿宋" w:hAnsi="仿宋" w:eastAsia="仿宋" w:cs="宋体"/>
          <w:bCs/>
          <w:kern w:val="0"/>
          <w:sz w:val="32"/>
          <w:szCs w:val="32"/>
        </w:rPr>
      </w:pPr>
      <w:r>
        <w:rPr>
          <w:rFonts w:hint="eastAsia" w:ascii="仿宋" w:hAnsi="仿宋" w:eastAsia="仿宋" w:cs="宋体"/>
          <w:b/>
          <w:kern w:val="0"/>
          <w:sz w:val="32"/>
          <w:szCs w:val="32"/>
        </w:rPr>
        <w:t>（一）责任单位认定和处理建议</w:t>
      </w:r>
      <w:r>
        <w:rPr>
          <w:rFonts w:hint="eastAsia" w:ascii="仿宋" w:hAnsi="仿宋" w:eastAsia="仿宋" w:cs="宋体"/>
          <w:bCs/>
          <w:kern w:val="0"/>
          <w:sz w:val="32"/>
          <w:szCs w:val="32"/>
        </w:rPr>
        <w:t>　　</w:t>
      </w:r>
    </w:p>
    <w:p>
      <w:pPr>
        <w:spacing w:line="54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1.遂溪县大华糖业有限公司安全生产主体责任落实不到位，未在有较大危险因素的生产经营场所设置明显的安全警示标志；未能对</w:t>
      </w:r>
      <w:r>
        <w:rPr>
          <w:rFonts w:hint="eastAsia" w:ascii="仿宋" w:hAnsi="仿宋" w:eastAsia="仿宋" w:cs="宋体"/>
          <w:bCs/>
          <w:color w:val="000000" w:themeColor="text1"/>
          <w:kern w:val="0"/>
          <w:sz w:val="32"/>
          <w:szCs w:val="32"/>
        </w:rPr>
        <w:t>5#A2吊篮筛的</w:t>
      </w:r>
      <w:r>
        <w:rPr>
          <w:rFonts w:hint="eastAsia" w:ascii="仿宋" w:hAnsi="仿宋" w:eastAsia="仿宋" w:cs="宋体"/>
          <w:bCs/>
          <w:kern w:val="0"/>
          <w:sz w:val="32"/>
          <w:szCs w:val="32"/>
        </w:rPr>
        <w:t>维修进行经常性维护和严格落实</w:t>
      </w:r>
      <w:r>
        <w:rPr>
          <w:rFonts w:hint="eastAsia" w:ascii="仿宋" w:hAnsi="仿宋" w:eastAsia="仿宋" w:cs="宋体"/>
          <w:bCs/>
          <w:color w:val="000000" w:themeColor="text1"/>
          <w:kern w:val="0"/>
          <w:sz w:val="32"/>
          <w:szCs w:val="32"/>
        </w:rPr>
        <w:t>《XZ-1200(B)离心机使用说明书》中的《分蜜操作注意事项》</w:t>
      </w:r>
      <w:r>
        <w:rPr>
          <w:rFonts w:hint="eastAsia" w:ascii="仿宋" w:hAnsi="仿宋" w:eastAsia="仿宋" w:cs="宋体"/>
          <w:bCs/>
          <w:kern w:val="0"/>
          <w:sz w:val="32"/>
          <w:szCs w:val="32"/>
        </w:rPr>
        <w:t>；未组织开展危险源辨识、安全风险分析和安全评估；安全管理资金投入不足，隐患排查不全面,未采取有效防范措施消除事故隐患，未组织人员对</w:t>
      </w:r>
      <w:r>
        <w:rPr>
          <w:rFonts w:hint="eastAsia" w:ascii="仿宋" w:hAnsi="仿宋" w:eastAsia="仿宋" w:cs="宋体"/>
          <w:bCs/>
          <w:color w:val="000000" w:themeColor="text1"/>
          <w:kern w:val="0"/>
          <w:sz w:val="32"/>
          <w:szCs w:val="32"/>
        </w:rPr>
        <w:t>5#A2吊篮筛</w:t>
      </w:r>
      <w:r>
        <w:rPr>
          <w:rFonts w:hint="eastAsia" w:ascii="仿宋" w:hAnsi="仿宋" w:eastAsia="仿宋" w:cs="宋体"/>
          <w:bCs/>
          <w:kern w:val="0"/>
          <w:sz w:val="32"/>
          <w:szCs w:val="32"/>
        </w:rPr>
        <w:t>安全状况加以分析论证。其行为违反了《中华人民共和国安全生产法》第三十二条、三十三条、三十八条的规定，对事故发生负有责任，建议由遂溪县应急管理部门依法对该公司给予行政处罚</w:t>
      </w:r>
      <w:r>
        <w:rPr>
          <w:rStyle w:val="12"/>
          <w:rFonts w:hint="eastAsia" w:ascii="仿宋" w:hAnsi="仿宋" w:eastAsia="仿宋" w:cs="宋体"/>
          <w:bCs/>
          <w:kern w:val="0"/>
          <w:sz w:val="32"/>
          <w:szCs w:val="32"/>
        </w:rPr>
        <w:footnoteReference w:id="5"/>
      </w:r>
      <w:r>
        <w:rPr>
          <w:rFonts w:hint="eastAsia" w:ascii="仿宋" w:hAnsi="仿宋" w:eastAsia="仿宋" w:cs="宋体"/>
          <w:bCs/>
          <w:kern w:val="0"/>
          <w:sz w:val="32"/>
          <w:szCs w:val="32"/>
        </w:rPr>
        <w:t>。</w:t>
      </w:r>
    </w:p>
    <w:p>
      <w:pPr>
        <w:pStyle w:val="17"/>
        <w:ind w:firstLine="640"/>
        <w:rPr>
          <w:rFonts w:ascii="仿宋" w:hAnsi="仿宋" w:eastAsia="仿宋" w:cs="仿宋_GB2312"/>
          <w:kern w:val="0"/>
          <w:sz w:val="32"/>
          <w:szCs w:val="32"/>
        </w:rPr>
      </w:pPr>
      <w:r>
        <w:rPr>
          <w:rFonts w:hint="eastAsia" w:ascii="仿宋" w:hAnsi="仿宋" w:eastAsia="仿宋" w:cs="宋体"/>
          <w:bCs/>
          <w:color w:val="000000" w:themeColor="text1"/>
          <w:kern w:val="0"/>
          <w:sz w:val="32"/>
          <w:szCs w:val="32"/>
        </w:rPr>
        <w:t>2.遂溪县北坡镇人民政府属地管理责任落实不到位，</w:t>
      </w:r>
      <w:r>
        <w:rPr>
          <w:rFonts w:hint="eastAsia" w:ascii="仿宋" w:hAnsi="仿宋" w:eastAsia="仿宋" w:cs="仿宋_GB2312"/>
          <w:sz w:val="32"/>
          <w:szCs w:val="32"/>
        </w:rPr>
        <w:t>属下经济发展办对属地企业检查监督不到位。建议北坡镇政府</w:t>
      </w:r>
      <w:r>
        <w:rPr>
          <w:rFonts w:hint="eastAsia" w:ascii="仿宋" w:hAnsi="仿宋" w:eastAsia="仿宋" w:cs="仿宋_GB2312"/>
          <w:kern w:val="0"/>
          <w:sz w:val="32"/>
          <w:szCs w:val="32"/>
        </w:rPr>
        <w:t>进一步落实属地管理的责任，认真进行“党政同责、一岗双责、齐抓共管”的落实，加大对辖区的监督检查力度，及时发现隐患，齐抓共管做好企业安全管理工作，杜绝事故发生。责令北坡镇政府向遂溪县人民政府作出深刻的书面检讨。</w:t>
      </w:r>
    </w:p>
    <w:p>
      <w:pPr>
        <w:spacing w:line="540" w:lineRule="exact"/>
        <w:ind w:firstLine="640" w:firstLineChars="200"/>
        <w:rPr>
          <w:rFonts w:ascii="仿宋" w:hAnsi="仿宋" w:eastAsia="仿宋" w:cs="宋体"/>
          <w:bCs/>
          <w:color w:val="000000" w:themeColor="text1"/>
          <w:kern w:val="0"/>
          <w:sz w:val="32"/>
          <w:szCs w:val="32"/>
        </w:rPr>
      </w:pPr>
      <w:r>
        <w:rPr>
          <w:rFonts w:hint="eastAsia" w:ascii="仿宋" w:hAnsi="仿宋" w:eastAsia="仿宋" w:cs="宋体"/>
          <w:bCs/>
          <w:color w:val="000000" w:themeColor="text1"/>
          <w:kern w:val="0"/>
          <w:sz w:val="32"/>
          <w:szCs w:val="32"/>
        </w:rPr>
        <w:t>3.</w:t>
      </w:r>
      <w:r>
        <w:rPr>
          <w:rFonts w:hint="eastAsia" w:ascii="仿宋_GB2312" w:hAnsi="仿宋_GB2312" w:eastAsia="仿宋_GB2312" w:cs="仿宋_GB2312"/>
          <w:sz w:val="32"/>
          <w:szCs w:val="32"/>
        </w:rPr>
        <w:t xml:space="preserve"> </w:t>
      </w:r>
      <w:r>
        <w:rPr>
          <w:rFonts w:hint="eastAsia" w:ascii="仿宋" w:hAnsi="仿宋" w:eastAsia="仿宋" w:cs="仿宋_GB2312"/>
          <w:sz w:val="32"/>
          <w:szCs w:val="32"/>
        </w:rPr>
        <w:t>遂溪县科工贸和信息化局</w:t>
      </w:r>
      <w:r>
        <w:rPr>
          <w:rFonts w:hint="eastAsia" w:ascii="仿宋" w:hAnsi="仿宋" w:eastAsia="仿宋" w:cs="仿宋_GB2312"/>
          <w:kern w:val="0"/>
          <w:sz w:val="32"/>
          <w:szCs w:val="32"/>
        </w:rPr>
        <w:t>作为制糖行业的主管部门，</w:t>
      </w:r>
      <w:r>
        <w:rPr>
          <w:rFonts w:hint="eastAsia" w:ascii="仿宋" w:hAnsi="仿宋" w:eastAsia="仿宋" w:cs="仿宋_GB2312"/>
          <w:sz w:val="32"/>
          <w:szCs w:val="32"/>
        </w:rPr>
        <w:t>对事发企业遂溪县大华糖业有限公司的安全生产和日常检查工作不到位。建议</w:t>
      </w:r>
      <w:r>
        <w:rPr>
          <w:rFonts w:hint="eastAsia" w:ascii="仿宋" w:hAnsi="仿宋" w:eastAsia="仿宋" w:cs="仿宋_GB2312"/>
          <w:kern w:val="0"/>
          <w:sz w:val="32"/>
          <w:szCs w:val="32"/>
        </w:rPr>
        <w:t>遂溪县科工贸和信息化局要严格落实《国务院关于推进安全生产领域改革发展的意见》的文件精神，严格落实“管行业必须管安全”的要求，针对此次事故，举一反三，立即开展辖区内制糖行业的安全大检查活动，督促企业认真查隐患、促整改。责令</w:t>
      </w:r>
      <w:r>
        <w:rPr>
          <w:rFonts w:hint="eastAsia" w:ascii="仿宋" w:hAnsi="仿宋" w:eastAsia="仿宋" w:cs="仿宋_GB2312"/>
          <w:sz w:val="32"/>
          <w:szCs w:val="32"/>
        </w:rPr>
        <w:t>遂溪县科工贸和信息化局</w:t>
      </w:r>
      <w:r>
        <w:rPr>
          <w:rFonts w:hint="eastAsia" w:ascii="仿宋" w:hAnsi="仿宋" w:eastAsia="仿宋" w:cs="仿宋_GB2312"/>
          <w:kern w:val="0"/>
          <w:sz w:val="32"/>
          <w:szCs w:val="32"/>
        </w:rPr>
        <w:t>向遂溪县人民政府作出深刻的书面检讨。</w:t>
      </w:r>
    </w:p>
    <w:p>
      <w:pPr>
        <w:spacing w:line="540" w:lineRule="exact"/>
        <w:ind w:firstLine="321" w:firstLineChars="100"/>
        <w:rPr>
          <w:rFonts w:ascii="仿宋" w:hAnsi="仿宋" w:eastAsia="仿宋" w:cs="宋体"/>
          <w:b/>
          <w:bCs/>
          <w:kern w:val="0"/>
          <w:sz w:val="32"/>
          <w:szCs w:val="32"/>
        </w:rPr>
      </w:pPr>
      <w:r>
        <w:rPr>
          <w:rFonts w:hint="eastAsia" w:ascii="仿宋" w:hAnsi="仿宋" w:eastAsia="仿宋" w:cs="宋体"/>
          <w:b/>
          <w:bCs/>
          <w:kern w:val="0"/>
          <w:sz w:val="32"/>
          <w:szCs w:val="32"/>
        </w:rPr>
        <w:t>（二）责任人认定和处理建议</w:t>
      </w:r>
    </w:p>
    <w:p>
      <w:pPr>
        <w:spacing w:line="540" w:lineRule="exact"/>
        <w:ind w:firstLine="301" w:firstLineChars="100"/>
        <w:rPr>
          <w:rFonts w:ascii="仿宋" w:hAnsi="仿宋" w:eastAsia="仿宋" w:cs="宋体"/>
          <w:b/>
          <w:bCs/>
          <w:kern w:val="0"/>
          <w:sz w:val="30"/>
          <w:szCs w:val="30"/>
        </w:rPr>
      </w:pPr>
      <w:r>
        <w:rPr>
          <w:rFonts w:hint="eastAsia" w:ascii="仿宋" w:hAnsi="仿宋" w:eastAsia="仿宋" w:cs="宋体"/>
          <w:b/>
          <w:bCs/>
          <w:kern w:val="0"/>
          <w:sz w:val="30"/>
          <w:szCs w:val="30"/>
        </w:rPr>
        <w:t>1.对事故单位</w:t>
      </w:r>
      <w:r>
        <w:rPr>
          <w:rFonts w:hint="eastAsia" w:ascii="仿宋" w:hAnsi="仿宋" w:eastAsia="仿宋" w:cs="仿宋_GB2312"/>
          <w:b/>
          <w:bCs/>
          <w:sz w:val="30"/>
          <w:szCs w:val="30"/>
        </w:rPr>
        <w:t>责任人</w:t>
      </w:r>
      <w:r>
        <w:rPr>
          <w:rFonts w:hint="eastAsia" w:ascii="仿宋" w:hAnsi="仿宋" w:eastAsia="仿宋" w:cs="宋体"/>
          <w:b/>
          <w:bCs/>
          <w:kern w:val="0"/>
          <w:sz w:val="30"/>
          <w:szCs w:val="30"/>
        </w:rPr>
        <w:t>认定和处理建议</w:t>
      </w:r>
    </w:p>
    <w:p>
      <w:pPr>
        <w:spacing w:line="540" w:lineRule="exact"/>
        <w:ind w:firstLine="640" w:firstLineChars="200"/>
        <w:rPr>
          <w:rFonts w:ascii="仿宋" w:hAnsi="仿宋" w:eastAsia="仿宋" w:cs="仿宋_GB2312"/>
          <w:bCs/>
          <w:color w:val="000000" w:themeColor="text1"/>
          <w:kern w:val="0"/>
          <w:sz w:val="32"/>
          <w:szCs w:val="32"/>
        </w:rPr>
      </w:pPr>
      <w:r>
        <w:rPr>
          <w:rFonts w:hint="eastAsia" w:ascii="仿宋" w:hAnsi="仿宋" w:eastAsia="仿宋" w:cs="宋体"/>
          <w:bCs/>
          <w:kern w:val="0"/>
          <w:sz w:val="32"/>
          <w:szCs w:val="32"/>
        </w:rPr>
        <w:t>郭振速</w:t>
      </w:r>
      <w:r>
        <w:rPr>
          <w:rFonts w:ascii="仿宋" w:hAnsi="仿宋" w:eastAsia="仿宋" w:cs="宋体"/>
          <w:bCs/>
          <w:kern w:val="0"/>
          <w:sz w:val="32"/>
          <w:szCs w:val="32"/>
        </w:rPr>
        <w:t>,</w:t>
      </w:r>
      <w:r>
        <w:rPr>
          <w:rFonts w:hint="eastAsia" w:ascii="仿宋" w:hAnsi="仿宋" w:eastAsia="仿宋" w:cs="宋体"/>
          <w:bCs/>
          <w:kern w:val="0"/>
          <w:sz w:val="32"/>
          <w:szCs w:val="32"/>
        </w:rPr>
        <w:t>男</w:t>
      </w:r>
      <w:r>
        <w:rPr>
          <w:rFonts w:ascii="仿宋" w:hAnsi="仿宋" w:eastAsia="仿宋" w:cs="宋体"/>
          <w:bCs/>
          <w:kern w:val="0"/>
          <w:sz w:val="32"/>
          <w:szCs w:val="32"/>
        </w:rPr>
        <w:t>,</w:t>
      </w:r>
      <w:r>
        <w:rPr>
          <w:rFonts w:hint="eastAsia" w:ascii="仿宋" w:hAnsi="仿宋" w:eastAsia="仿宋" w:cs="宋体"/>
          <w:bCs/>
          <w:kern w:val="0"/>
          <w:sz w:val="32"/>
          <w:szCs w:val="32"/>
        </w:rPr>
        <w:t>58岁，湛江市赤坎区人，工作单位：遂溪县广东大华糖业有限公司，该公司总经理（主要负责人）。作为遂溪县广东大华糖业有限公司主要负责人，未认真履行“一岗双责”。督促落实不到位，未及时发现分蜜工段5#A2吊篮筛所存在的安全隐患；未严格督促落实安全生产规章制度和设备保养维修制度；未组织开展危险源辨识、安全风险分析和安全评估；未组织人员对5#A2吊篮筛安全状况加以分析论证。其行为违反了《中华人民共和国安全生产法》第十八条第（一）、（五）项</w:t>
      </w:r>
      <w:r>
        <w:rPr>
          <w:rStyle w:val="12"/>
          <w:rFonts w:hint="eastAsia" w:ascii="仿宋" w:hAnsi="仿宋" w:eastAsia="仿宋" w:cs="宋体"/>
          <w:kern w:val="0"/>
          <w:sz w:val="32"/>
          <w:szCs w:val="32"/>
        </w:rPr>
        <w:footnoteReference w:id="6"/>
      </w:r>
      <w:r>
        <w:rPr>
          <w:rFonts w:hint="eastAsia" w:ascii="仿宋" w:hAnsi="仿宋" w:eastAsia="仿宋" w:cs="宋体"/>
          <w:bCs/>
          <w:kern w:val="0"/>
          <w:sz w:val="32"/>
          <w:szCs w:val="32"/>
        </w:rPr>
        <w:t>和《广东省安全生产条例》第十一条第（一）、（二）项</w:t>
      </w:r>
      <w:r>
        <w:rPr>
          <w:rStyle w:val="12"/>
          <w:rFonts w:hint="eastAsia" w:ascii="仿宋" w:hAnsi="仿宋" w:eastAsia="仿宋" w:cs="宋体"/>
          <w:kern w:val="0"/>
          <w:sz w:val="32"/>
          <w:szCs w:val="32"/>
        </w:rPr>
        <w:footnoteReference w:id="7"/>
      </w:r>
      <w:r>
        <w:rPr>
          <w:rFonts w:hint="eastAsia" w:ascii="仿宋" w:hAnsi="仿宋" w:eastAsia="仿宋" w:cs="宋体"/>
          <w:bCs/>
          <w:kern w:val="0"/>
          <w:sz w:val="32"/>
          <w:szCs w:val="32"/>
        </w:rPr>
        <w:t>的规定；对此次事故负有责任。建议由遂溪县应急管理局依法对其给予行政处罚</w:t>
      </w:r>
      <w:r>
        <w:rPr>
          <w:rStyle w:val="12"/>
          <w:rFonts w:hint="eastAsia" w:ascii="仿宋" w:hAnsi="仿宋" w:eastAsia="仿宋" w:cs="宋体"/>
          <w:bCs/>
          <w:kern w:val="0"/>
          <w:sz w:val="32"/>
          <w:szCs w:val="32"/>
        </w:rPr>
        <w:footnoteReference w:id="8"/>
      </w:r>
      <w:r>
        <w:rPr>
          <w:rFonts w:hint="eastAsia" w:ascii="仿宋" w:hAnsi="仿宋" w:eastAsia="仿宋" w:cs="宋体"/>
          <w:kern w:val="0"/>
          <w:sz w:val="32"/>
          <w:szCs w:val="32"/>
        </w:rPr>
        <w:t>。</w:t>
      </w:r>
      <w:r>
        <w:rPr>
          <w:rFonts w:hint="eastAsia" w:ascii="仿宋" w:hAnsi="仿宋" w:eastAsia="仿宋" w:cs="仿宋_GB2312"/>
          <w:bCs/>
          <w:color w:val="000000" w:themeColor="text1"/>
          <w:kern w:val="0"/>
          <w:sz w:val="32"/>
          <w:szCs w:val="32"/>
        </w:rPr>
        <w:t>同时建议遂溪县科工贸和信息化局对其进行约谈，并予以通报，让其接受安全生产再培训、再教育</w:t>
      </w:r>
      <w:r>
        <w:rPr>
          <w:rStyle w:val="12"/>
          <w:rFonts w:hint="eastAsia" w:ascii="仿宋" w:hAnsi="仿宋" w:eastAsia="仿宋" w:cs="仿宋_GB2312"/>
          <w:bCs/>
          <w:color w:val="000000" w:themeColor="text1"/>
          <w:kern w:val="0"/>
          <w:sz w:val="32"/>
          <w:szCs w:val="32"/>
        </w:rPr>
        <w:footnoteReference w:id="9"/>
      </w:r>
      <w:r>
        <w:rPr>
          <w:rFonts w:hint="eastAsia" w:ascii="仿宋" w:hAnsi="仿宋" w:eastAsia="仿宋" w:cs="仿宋_GB2312"/>
          <w:bCs/>
          <w:color w:val="000000" w:themeColor="text1"/>
          <w:kern w:val="0"/>
          <w:sz w:val="32"/>
          <w:szCs w:val="32"/>
        </w:rPr>
        <w:t>。</w:t>
      </w:r>
    </w:p>
    <w:p>
      <w:pPr>
        <w:spacing w:line="540" w:lineRule="exact"/>
        <w:ind w:firstLine="643" w:firstLineChars="200"/>
        <w:rPr>
          <w:rFonts w:ascii="仿宋" w:hAnsi="仿宋" w:eastAsia="仿宋" w:cs="宋体"/>
          <w:b/>
          <w:bCs/>
          <w:color w:val="000000" w:themeColor="text1"/>
          <w:kern w:val="0"/>
          <w:sz w:val="32"/>
          <w:szCs w:val="32"/>
        </w:rPr>
      </w:pPr>
      <w:r>
        <w:rPr>
          <w:rFonts w:hint="eastAsia" w:ascii="仿宋" w:hAnsi="仿宋" w:eastAsia="仿宋" w:cs="宋体"/>
          <w:b/>
          <w:bCs/>
          <w:color w:val="000000" w:themeColor="text1"/>
          <w:kern w:val="0"/>
          <w:sz w:val="32"/>
          <w:szCs w:val="32"/>
        </w:rPr>
        <w:t>2、对部门</w:t>
      </w:r>
      <w:r>
        <w:rPr>
          <w:rFonts w:hint="eastAsia" w:ascii="仿宋" w:hAnsi="仿宋" w:eastAsia="仿宋" w:cs="仿宋_GB2312"/>
          <w:b/>
          <w:bCs/>
          <w:color w:val="000000" w:themeColor="text1"/>
          <w:sz w:val="32"/>
          <w:szCs w:val="32"/>
        </w:rPr>
        <w:t>责任人</w:t>
      </w:r>
      <w:r>
        <w:rPr>
          <w:rFonts w:hint="eastAsia" w:ascii="仿宋" w:hAnsi="仿宋" w:eastAsia="仿宋" w:cs="宋体"/>
          <w:b/>
          <w:bCs/>
          <w:color w:val="000000" w:themeColor="text1"/>
          <w:kern w:val="0"/>
          <w:sz w:val="32"/>
          <w:szCs w:val="32"/>
        </w:rPr>
        <w:t>认定和处理建议</w:t>
      </w:r>
    </w:p>
    <w:p>
      <w:pPr>
        <w:spacing w:line="560" w:lineRule="exact"/>
        <w:ind w:firstLine="640" w:firstLineChars="200"/>
        <w:jc w:val="left"/>
        <w:rPr>
          <w:rFonts w:ascii="仿宋" w:hAnsi="仿宋" w:eastAsia="仿宋" w:cs="宋体"/>
          <w:bCs/>
          <w:kern w:val="0"/>
          <w:sz w:val="32"/>
          <w:szCs w:val="32"/>
        </w:rPr>
      </w:pPr>
      <w:r>
        <w:rPr>
          <w:rFonts w:hint="eastAsia" w:ascii="仿宋" w:hAnsi="仿宋" w:eastAsia="仿宋" w:cs="宋体"/>
          <w:color w:val="000000" w:themeColor="text1"/>
          <w:kern w:val="0"/>
          <w:sz w:val="32"/>
          <w:szCs w:val="32"/>
        </w:rPr>
        <w:t>(1)全志成</w:t>
      </w:r>
      <w:r>
        <w:rPr>
          <w:rFonts w:ascii="仿宋" w:hAnsi="仿宋" w:eastAsia="仿宋" w:cs="宋体"/>
          <w:bCs/>
          <w:kern w:val="0"/>
          <w:sz w:val="32"/>
          <w:szCs w:val="32"/>
        </w:rPr>
        <w:t>,</w:t>
      </w:r>
      <w:r>
        <w:rPr>
          <w:rFonts w:hint="eastAsia" w:ascii="仿宋" w:hAnsi="仿宋" w:eastAsia="仿宋" w:cs="宋体"/>
          <w:bCs/>
          <w:kern w:val="0"/>
          <w:sz w:val="32"/>
          <w:szCs w:val="32"/>
        </w:rPr>
        <w:t>男</w:t>
      </w:r>
      <w:r>
        <w:rPr>
          <w:rFonts w:ascii="仿宋" w:hAnsi="仿宋" w:eastAsia="仿宋" w:cs="宋体"/>
          <w:bCs/>
          <w:kern w:val="0"/>
          <w:sz w:val="32"/>
          <w:szCs w:val="32"/>
        </w:rPr>
        <w:t>,</w:t>
      </w:r>
      <w:r>
        <w:rPr>
          <w:rFonts w:hint="eastAsia" w:ascii="仿宋" w:hAnsi="仿宋" w:eastAsia="仿宋" w:cs="宋体"/>
          <w:bCs/>
          <w:kern w:val="0"/>
          <w:sz w:val="32"/>
          <w:szCs w:val="32"/>
        </w:rPr>
        <w:t>47岁，汉族,党员,遂溪县界炮镇人，现为遂溪县北坡镇党委委员、副镇长,分管安全生产。在对遂溪县广东大华糖业有限公司安全生产监督管理过程中，检查监督不全面。建议由县纪委监委给予批评教育。</w:t>
      </w:r>
    </w:p>
    <w:p>
      <w:pPr>
        <w:spacing w:line="56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rPr>
        <w:t>（2）麦飞龙</w:t>
      </w:r>
      <w:r>
        <w:rPr>
          <w:rFonts w:hint="eastAsia" w:ascii="仿宋" w:hAnsi="仿宋" w:eastAsia="仿宋" w:cs="宋体"/>
          <w:bCs/>
          <w:kern w:val="0"/>
          <w:sz w:val="32"/>
          <w:szCs w:val="32"/>
        </w:rPr>
        <w:t>，男，汉族，1992年7月出生，遂溪县港门镇人，中共党员，现任北坡镇人民政府应急管理办主任。其在对遂溪县广东大华糖业有限公司开展安全生产监督检查工作过程中，检查监督不全面。建议由县纪委监委给予批评教育。</w:t>
      </w:r>
    </w:p>
    <w:p>
      <w:pPr>
        <w:spacing w:line="56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3）崔凯旭,男，汉族，1974年7月出生，茂名市电白区人,2015年加入民盟，现任遂溪县科工贸和信息化局任副局长，分管安全生产工作。其对遂溪县广东大华糖业有限公司安全生产检查工作不全面。建议由县纪委监委给予批评教育。</w:t>
      </w:r>
    </w:p>
    <w:p>
      <w:pPr>
        <w:spacing w:line="540" w:lineRule="exact"/>
        <w:ind w:firstLine="643" w:firstLineChars="200"/>
        <w:rPr>
          <w:rFonts w:ascii="仿宋" w:hAnsi="仿宋" w:eastAsia="仿宋" w:cs="宋体"/>
          <w:b/>
          <w:bCs/>
          <w:color w:val="000000" w:themeColor="text1"/>
          <w:kern w:val="0"/>
          <w:sz w:val="32"/>
          <w:szCs w:val="32"/>
        </w:rPr>
      </w:pPr>
      <w:r>
        <w:rPr>
          <w:rFonts w:hint="eastAsia" w:ascii="仿宋" w:hAnsi="仿宋" w:eastAsia="仿宋" w:cs="宋体"/>
          <w:b/>
          <w:bCs/>
          <w:color w:val="000000" w:themeColor="text1"/>
          <w:kern w:val="0"/>
          <w:sz w:val="32"/>
          <w:szCs w:val="32"/>
        </w:rPr>
        <w:t>六、事故的主要教训</w:t>
      </w:r>
    </w:p>
    <w:p>
      <w:pPr>
        <w:spacing w:line="540" w:lineRule="exact"/>
        <w:ind w:firstLine="643" w:firstLineChars="200"/>
        <w:rPr>
          <w:rFonts w:ascii="仿宋" w:hAnsi="仿宋" w:eastAsia="仿宋" w:cs="宋体"/>
          <w:bCs/>
          <w:color w:val="000000" w:themeColor="text1"/>
          <w:kern w:val="0"/>
          <w:sz w:val="32"/>
          <w:szCs w:val="32"/>
        </w:rPr>
      </w:pPr>
      <w:r>
        <w:rPr>
          <w:rFonts w:hint="eastAsia" w:ascii="仿宋" w:hAnsi="仿宋" w:eastAsia="仿宋" w:cs="宋体"/>
          <w:b/>
          <w:bCs/>
          <w:color w:val="000000" w:themeColor="text1"/>
          <w:kern w:val="0"/>
          <w:sz w:val="32"/>
          <w:szCs w:val="32"/>
        </w:rPr>
        <w:t>（一）</w:t>
      </w:r>
      <w:r>
        <w:rPr>
          <w:rFonts w:hint="eastAsia" w:ascii="楷体_GB2312" w:hAnsi="仿宋" w:eastAsia="楷体_GB2312" w:cs="仿宋"/>
          <w:b/>
          <w:bCs/>
          <w:color w:val="000000" w:themeColor="text1"/>
          <w:sz w:val="32"/>
          <w:szCs w:val="32"/>
        </w:rPr>
        <w:t>企业安全生产主体责任落实不到位。</w:t>
      </w:r>
      <w:r>
        <w:rPr>
          <w:rFonts w:hint="eastAsia" w:ascii="仿宋" w:hAnsi="仿宋" w:eastAsia="仿宋" w:cs="宋体"/>
          <w:bCs/>
          <w:color w:val="000000" w:themeColor="text1"/>
          <w:kern w:val="0"/>
          <w:sz w:val="32"/>
          <w:szCs w:val="32"/>
        </w:rPr>
        <w:t>遂溪县大华糖业有限公司安全生产管理制度和责任制度不健全。该公司设备管理、技术管理制度不健全，安全管理资金投入不足，设备管理工作缺陷突出，分离机在腐蚀环境中使用，设备维修保养不细、不深入，对高速运转零部件长时间失修，形成严重安全隐患。该公司未制定和落实安全风险分级管控和隐患排查治理措施，未进行设备设计安全风险分析，采取针对性的风险管控措施，未组织开展设备安全专项隐患排查治理，未能发现</w:t>
      </w:r>
      <w:r>
        <w:rPr>
          <w:rFonts w:hint="eastAsia" w:ascii="仿宋" w:hAnsi="仿宋" w:eastAsia="仿宋" w:cs="宋体"/>
          <w:bCs/>
          <w:kern w:val="0"/>
          <w:sz w:val="32"/>
          <w:szCs w:val="32"/>
        </w:rPr>
        <w:t>5#A2吊篮筛</w:t>
      </w:r>
      <w:r>
        <w:rPr>
          <w:rFonts w:hint="eastAsia" w:ascii="仿宋" w:hAnsi="仿宋" w:eastAsia="仿宋" w:cs="宋体"/>
          <w:bCs/>
          <w:color w:val="000000" w:themeColor="text1"/>
          <w:kern w:val="0"/>
          <w:sz w:val="32"/>
          <w:szCs w:val="32"/>
        </w:rPr>
        <w:t>已经存在的严重安全隐患。</w:t>
      </w:r>
    </w:p>
    <w:p>
      <w:pPr>
        <w:spacing w:line="540" w:lineRule="exact"/>
        <w:ind w:firstLine="643" w:firstLineChars="200"/>
        <w:rPr>
          <w:rFonts w:ascii="仿宋" w:hAnsi="仿宋" w:eastAsia="仿宋" w:cs="宋体"/>
          <w:bCs/>
          <w:color w:val="000000" w:themeColor="text1"/>
          <w:kern w:val="0"/>
          <w:sz w:val="32"/>
          <w:szCs w:val="32"/>
        </w:rPr>
      </w:pPr>
      <w:r>
        <w:rPr>
          <w:rFonts w:hint="eastAsia" w:ascii="仿宋" w:hAnsi="仿宋" w:eastAsia="仿宋" w:cs="宋体"/>
          <w:b/>
          <w:color w:val="000000" w:themeColor="text1"/>
          <w:kern w:val="0"/>
          <w:sz w:val="32"/>
          <w:szCs w:val="32"/>
        </w:rPr>
        <w:t>（二）</w:t>
      </w:r>
      <w:r>
        <w:rPr>
          <w:rFonts w:hint="eastAsia" w:ascii="楷体_GB2312" w:eastAsia="楷体_GB2312"/>
          <w:b/>
          <w:color w:val="000000" w:themeColor="text1"/>
          <w:sz w:val="32"/>
          <w:szCs w:val="32"/>
        </w:rPr>
        <w:t>安全监管不到位。</w:t>
      </w:r>
      <w:r>
        <w:rPr>
          <w:rFonts w:hint="eastAsia" w:ascii="仿宋" w:hAnsi="仿宋" w:eastAsia="仿宋" w:cs="宋体"/>
          <w:bCs/>
          <w:color w:val="000000" w:themeColor="text1"/>
          <w:kern w:val="0"/>
          <w:sz w:val="32"/>
          <w:szCs w:val="32"/>
        </w:rPr>
        <w:t>行业主管部门和属地政府在2019-2020年榨季期间按照规定召开安全生产会议，多次对该公司进行督查检查，督促要求企业对存在的隐患问题进行整改，</w:t>
      </w:r>
      <w:r>
        <w:rPr>
          <w:rFonts w:hint="eastAsia" w:ascii="仿宋" w:hAnsi="仿宋" w:eastAsia="仿宋" w:cs="仿宋_GB2312"/>
          <w:color w:val="000000" w:themeColor="text1"/>
          <w:sz w:val="32"/>
          <w:szCs w:val="32"/>
        </w:rPr>
        <w:t>但仍存在监督检查覆盖面不足，发现隐患能力水平不高，存在监督检查不到位的地方。</w:t>
      </w:r>
    </w:p>
    <w:p>
      <w:pPr>
        <w:spacing w:line="540" w:lineRule="exact"/>
        <w:ind w:firstLine="643" w:firstLineChars="200"/>
        <w:rPr>
          <w:rFonts w:ascii="仿宋" w:hAnsi="仿宋" w:eastAsia="仿宋" w:cs="宋体"/>
          <w:bCs/>
          <w:kern w:val="0"/>
          <w:sz w:val="32"/>
          <w:szCs w:val="32"/>
        </w:rPr>
      </w:pPr>
      <w:r>
        <w:rPr>
          <w:rFonts w:hint="eastAsia" w:ascii="仿宋" w:hAnsi="仿宋" w:eastAsia="仿宋" w:cs="宋体"/>
          <w:b/>
          <w:bCs/>
          <w:kern w:val="0"/>
          <w:sz w:val="32"/>
          <w:szCs w:val="32"/>
        </w:rPr>
        <w:t>七、事故防范和整改措施建议</w:t>
      </w:r>
    </w:p>
    <w:p>
      <w:pPr>
        <w:spacing w:line="540" w:lineRule="exact"/>
        <w:ind w:firstLine="640" w:firstLineChars="200"/>
        <w:rPr>
          <w:rFonts w:ascii="仿宋" w:hAnsi="仿宋" w:eastAsia="仿宋" w:cs="宋体"/>
          <w:kern w:val="0"/>
          <w:sz w:val="32"/>
          <w:szCs w:val="32"/>
        </w:rPr>
      </w:pPr>
      <w:r>
        <w:rPr>
          <w:rFonts w:hint="eastAsia" w:ascii="仿宋" w:hAnsi="仿宋" w:eastAsia="仿宋" w:cs="宋体"/>
          <w:bCs/>
          <w:kern w:val="0"/>
          <w:sz w:val="32"/>
          <w:szCs w:val="32"/>
        </w:rPr>
        <w:t>为深刻吸取事故教训，全面筑牢安全生产防线，进一步强化安全生产措施，夯实企业安全生产基础，有效防范和杜绝类似事故重复发生，提出如下措施建议</w:t>
      </w:r>
      <w:r>
        <w:rPr>
          <w:rFonts w:hint="eastAsia" w:ascii="仿宋" w:hAnsi="仿宋" w:eastAsia="仿宋" w:cs="宋体"/>
          <w:kern w:val="0"/>
          <w:sz w:val="32"/>
          <w:szCs w:val="32"/>
        </w:rPr>
        <w:t>：</w:t>
      </w:r>
    </w:p>
    <w:p>
      <w:pPr>
        <w:spacing w:line="54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一）遂溪县广东大华糖业有限公司要认真总结事故教训，结合实际进一步完善安全生产管理制度及设备维修保养制度和安全操作规程，组织各个岗位的从业人员严格依照法律法规进行安全教育培训。要严格贯彻落实《安全生产法》及相关规定，将各个岗位纳入本单位的安全管理体系。在作业前，落实危险因素防范措施，充分分析存在的危险因素，并进行评估，制定可行的方案；作业中，要安排专人对作业活动进行全过程监督。要严格落实企业安全生产主体责任，定期组织开展安全生产检查，确保生产安全。</w:t>
      </w:r>
    </w:p>
    <w:p>
      <w:pPr>
        <w:spacing w:line="540" w:lineRule="exact"/>
        <w:ind w:firstLine="640" w:firstLineChars="200"/>
        <w:rPr>
          <w:rFonts w:ascii="仿宋" w:hAnsi="仿宋" w:eastAsia="仿宋" w:cs="宋体"/>
          <w:bCs/>
          <w:kern w:val="0"/>
          <w:sz w:val="32"/>
          <w:szCs w:val="32"/>
        </w:rPr>
      </w:pPr>
      <w:r>
        <w:rPr>
          <w:rFonts w:hint="eastAsia" w:ascii="仿宋" w:hAnsi="仿宋" w:eastAsia="仿宋" w:cs="宋体"/>
          <w:kern w:val="0"/>
          <w:sz w:val="32"/>
          <w:szCs w:val="32"/>
        </w:rPr>
        <w:t>（二）</w:t>
      </w:r>
      <w:r>
        <w:rPr>
          <w:rFonts w:hint="eastAsia" w:ascii="仿宋" w:hAnsi="仿宋" w:eastAsia="仿宋" w:cs="宋体"/>
          <w:bCs/>
          <w:kern w:val="0"/>
          <w:sz w:val="32"/>
          <w:szCs w:val="32"/>
        </w:rPr>
        <w:t>遂溪县科工贸和信息化局要严格落实国务院、省、市和县委县政府《关于推进安全生产领域改革发展的意见》文件精神，牢固树立新发展理念，严格落实“管行业必须管安全”的要求，要时时保持严管重罚的高压态势，决不姑息。针对此次事故，要举一反三，立即开展一次辖区内制糖行业企业安全大检查和执法活动，督促企业认真查隐患、促整改。</w:t>
      </w:r>
    </w:p>
    <w:p>
      <w:pPr>
        <w:spacing w:line="54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（三）北坡</w:t>
      </w:r>
      <w:r>
        <w:rPr>
          <w:rFonts w:hint="eastAsia" w:ascii="仿宋" w:hAnsi="仿宋" w:eastAsia="仿宋" w:cs="仿宋"/>
          <w:color w:val="000000"/>
          <w:sz w:val="32"/>
          <w:szCs w:val="32"/>
        </w:rPr>
        <w:t>镇人民政府要严格落实《中共遂溪县委办公室 遂溪县人民政府办公室关于进一步完善安全生产责任体系的通知》和《遂溪县党政领导干部安全生产责任制工作制度》文件精神，按照“属地管理、分级负责”的原则，进一步强化属地管理的责任，加强对辖区内生产经营单位安全生产状况的日常巡查，及时报告安全生产重大隐患问题，协助上级有关部门依法履行安全生产监督管理责任，齐抓共管做好生产安全管理工作，杜绝事故发生。</w:t>
      </w:r>
    </w:p>
    <w:p>
      <w:pPr>
        <w:spacing w:line="540" w:lineRule="exact"/>
        <w:rPr>
          <w:rFonts w:ascii="仿宋" w:hAnsi="仿宋" w:eastAsia="仿宋" w:cs="仿宋"/>
          <w:color w:val="000000"/>
          <w:sz w:val="32"/>
          <w:szCs w:val="32"/>
        </w:rPr>
      </w:pPr>
      <w:r>
        <w:rPr>
          <w:rFonts w:hint="eastAsia" w:ascii="仿宋" w:hAnsi="仿宋" w:eastAsia="仿宋" w:cs="仿宋"/>
          <w:color w:val="000000"/>
          <w:sz w:val="32"/>
          <w:szCs w:val="32"/>
        </w:rPr>
        <w:t>　　　　　　　　</w:t>
      </w:r>
    </w:p>
    <w:p>
      <w:pPr>
        <w:spacing w:line="540" w:lineRule="exact"/>
        <w:rPr>
          <w:rFonts w:ascii="仿宋" w:hAnsi="仿宋" w:eastAsia="仿宋" w:cs="仿宋"/>
          <w:color w:val="000000"/>
          <w:sz w:val="32"/>
          <w:szCs w:val="32"/>
        </w:rPr>
      </w:pPr>
    </w:p>
    <w:p>
      <w:pPr>
        <w:spacing w:line="540" w:lineRule="exact"/>
        <w:rPr>
          <w:rFonts w:ascii="仿宋" w:hAnsi="仿宋" w:eastAsia="仿宋" w:cs="仿宋"/>
          <w:color w:val="000000"/>
          <w:sz w:val="32"/>
          <w:szCs w:val="32"/>
        </w:rPr>
      </w:pPr>
      <w:r>
        <w:rPr>
          <w:rFonts w:hint="eastAsia" w:ascii="仿宋" w:hAnsi="仿宋" w:eastAsia="仿宋" w:cs="仿宋"/>
          <w:color w:val="000000"/>
          <w:sz w:val="32"/>
          <w:szCs w:val="32"/>
        </w:rPr>
        <w:t>　　　　　　　　　遂溪县广东大华糖业有限公司“2·26”</w:t>
      </w:r>
    </w:p>
    <w:p>
      <w:pPr>
        <w:spacing w:line="540" w:lineRule="exact"/>
        <w:ind w:firstLine="640" w:firstLineChars="200"/>
        <w:jc w:val="center"/>
        <w:rPr>
          <w:rFonts w:ascii="仿宋" w:hAnsi="仿宋" w:eastAsia="仿宋" w:cs="仿宋"/>
          <w:color w:val="000000"/>
          <w:sz w:val="32"/>
          <w:szCs w:val="32"/>
        </w:rPr>
      </w:pPr>
      <w:r>
        <w:rPr>
          <w:rFonts w:hint="eastAsia" w:ascii="仿宋" w:hAnsi="仿宋" w:eastAsia="仿宋" w:cs="仿宋"/>
          <w:color w:val="000000"/>
          <w:sz w:val="32"/>
          <w:szCs w:val="32"/>
        </w:rPr>
        <w:t xml:space="preserve">             物体打击伤亡事故调查组</w:t>
      </w:r>
    </w:p>
    <w:p>
      <w:pPr>
        <w:spacing w:line="540" w:lineRule="exact"/>
        <w:ind w:firstLine="640" w:firstLineChars="200"/>
        <w:jc w:val="center"/>
        <w:rPr>
          <w:rFonts w:ascii="仿宋" w:hAnsi="仿宋" w:eastAsia="仿宋" w:cs="仿宋"/>
          <w:color w:val="000000"/>
          <w:sz w:val="32"/>
          <w:szCs w:val="32"/>
        </w:rPr>
      </w:pPr>
      <w:r>
        <w:rPr>
          <w:rFonts w:hint="eastAsia" w:ascii="仿宋" w:hAnsi="仿宋" w:eastAsia="仿宋" w:cs="仿宋"/>
          <w:color w:val="000000"/>
          <w:sz w:val="32"/>
          <w:szCs w:val="32"/>
        </w:rPr>
        <w:t xml:space="preserve">              遂溪县安全生产委员会办公室(代章)</w:t>
      </w:r>
    </w:p>
    <w:p>
      <w:pPr>
        <w:spacing w:line="540" w:lineRule="exact"/>
        <w:ind w:firstLine="640" w:firstLineChars="200"/>
        <w:jc w:val="center"/>
        <w:rPr>
          <w:rFonts w:ascii="仿宋" w:hAnsi="仿宋" w:eastAsia="仿宋" w:cs="仿宋"/>
          <w:color w:val="000000"/>
          <w:sz w:val="32"/>
          <w:szCs w:val="32"/>
        </w:rPr>
      </w:pPr>
      <w:r>
        <w:rPr>
          <w:rFonts w:hint="eastAsia" w:ascii="仿宋" w:hAnsi="仿宋" w:eastAsia="仿宋" w:cs="仿宋"/>
          <w:color w:val="000000"/>
          <w:sz w:val="32"/>
          <w:szCs w:val="32"/>
        </w:rPr>
        <w:t xml:space="preserve">                    2021年4月15日</w:t>
      </w:r>
    </w:p>
    <w:p>
      <w:pPr>
        <w:spacing w:line="540" w:lineRule="exact"/>
        <w:ind w:firstLine="640" w:firstLineChars="200"/>
        <w:jc w:val="center"/>
        <w:rPr>
          <w:rFonts w:ascii="仿宋" w:hAnsi="仿宋" w:eastAsia="仿宋" w:cs="仿宋"/>
          <w:color w:val="000000"/>
          <w:sz w:val="32"/>
          <w:szCs w:val="32"/>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25445"/>
    </w:sdtPr>
    <w:sdtContent>
      <w:p>
        <w:pPr>
          <w:pStyle w:val="4"/>
          <w:jc w:val="center"/>
        </w:pPr>
        <w:r>
          <w:fldChar w:fldCharType="begin"/>
        </w:r>
        <w:r>
          <w:instrText xml:space="preserve"> PAGE   \* MERGEFORMAT </w:instrText>
        </w:r>
        <w:r>
          <w:fldChar w:fldCharType="separate"/>
        </w:r>
        <w:r>
          <w:rPr>
            <w:lang w:val="zh-CN"/>
          </w:rPr>
          <w:t>13</w:t>
        </w:r>
        <w:r>
          <w:rPr>
            <w:lang w:val="zh-CN"/>
          </w:rP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0">
    <w:p>
      <w:r>
        <w:separator/>
      </w:r>
    </w:p>
  </w:footnote>
  <w:footnote w:type="continuationSeparator" w:id="21">
    <w:p>
      <w:r>
        <w:continuationSeparator/>
      </w:r>
    </w:p>
  </w:footnote>
  <w:footnote w:id="0">
    <w:p>
      <w:r>
        <w:rPr>
          <w:rStyle w:val="12"/>
        </w:rPr>
        <w:footnoteRef/>
      </w:r>
      <w:r>
        <w:rPr>
          <w:rFonts w:hint="eastAsia" w:ascii="仿宋" w:hAnsi="仿宋" w:eastAsia="仿宋"/>
          <w:sz w:val="18"/>
          <w:szCs w:val="18"/>
        </w:rPr>
        <w:t>《安全生产法》第三十二条：生产经营单位应当在有较大危险因素的生产经营场所和有关设施、设备上，设置明显的警示标志。第三十三条第二项：生产经营单位必须对安全设备进行安全性维护、保养，并定期检测，保证正常运转。维护保养检测应当做好记录，并由有关人员签字。</w:t>
      </w:r>
    </w:p>
  </w:footnote>
  <w:footnote w:id="1">
    <w:p>
      <w:pPr>
        <w:pStyle w:val="6"/>
        <w:rPr>
          <w:rFonts w:ascii="仿宋" w:hAnsi="仿宋" w:eastAsia="仿宋"/>
          <w:szCs w:val="18"/>
        </w:rPr>
      </w:pPr>
      <w:r>
        <w:rPr>
          <w:rStyle w:val="12"/>
        </w:rPr>
        <w:footnoteRef/>
      </w:r>
      <w:r>
        <w:rPr>
          <w:rFonts w:hint="eastAsia" w:ascii="仿宋" w:hAnsi="仿宋" w:eastAsia="仿宋"/>
          <w:szCs w:val="18"/>
        </w:rPr>
        <w:t>《安全生产法》第三十八条：生产经营单位应当建立未健全生产安全事故隐患排查治理制度，采取技术管理措施，未及时发现并消除事故隐患。</w:t>
      </w:r>
    </w:p>
    <w:p>
      <w:pPr>
        <w:pStyle w:val="6"/>
        <w:rPr>
          <w:rFonts w:eastAsia="仿宋"/>
          <w:sz w:val="21"/>
          <w:szCs w:val="21"/>
        </w:rPr>
      </w:pPr>
      <w:r>
        <w:rPr>
          <w:rFonts w:hint="eastAsia" w:ascii="仿宋" w:hAnsi="仿宋" w:eastAsia="仿宋"/>
          <w:szCs w:val="18"/>
          <w:vertAlign w:val="superscript"/>
        </w:rPr>
        <w:t>3</w:t>
      </w:r>
      <w:r>
        <w:rPr>
          <w:rFonts w:hint="eastAsia" w:ascii="仿宋" w:hAnsi="仿宋" w:eastAsia="仿宋"/>
          <w:szCs w:val="18"/>
        </w:rPr>
        <w:t>《设备解体、检修、技改及三级质量验收规程》：－－－3、有裂纹时要更换，厚度小于10mm应更换。</w:t>
      </w:r>
    </w:p>
  </w:footnote>
  <w:footnote w:id="2">
    <w:p>
      <w:pPr>
        <w:pStyle w:val="6"/>
        <w:rPr>
          <w:rFonts w:ascii="仿宋" w:hAnsi="仿宋" w:eastAsia="仿宋"/>
          <w:szCs w:val="18"/>
        </w:rPr>
      </w:pPr>
      <w:r>
        <w:rPr>
          <w:rStyle w:val="12"/>
        </w:rPr>
        <w:footnoteRef/>
      </w:r>
      <w:r>
        <w:rPr>
          <w:rFonts w:hint="eastAsia" w:ascii="仿宋" w:hAnsi="仿宋" w:eastAsia="仿宋"/>
          <w:szCs w:val="18"/>
        </w:rPr>
        <w:t>《安全生产法》</w:t>
      </w:r>
      <w:r>
        <w:rPr>
          <w:rFonts w:ascii="仿宋" w:hAnsi="仿宋" w:eastAsia="仿宋"/>
          <w:szCs w:val="18"/>
        </w:rPr>
        <w:t>第四十一条 生产经营单位应当教育和督促从业人员严格执行本单位的安全生产规章制度和安全操作规程；并向从业人员如实告知作业场所和工作岗位存在的危险因素、防范措施以及事故应急措施。</w:t>
      </w:r>
    </w:p>
  </w:footnote>
  <w:footnote w:id="3">
    <w:p>
      <w:pPr>
        <w:spacing w:line="200" w:lineRule="exact"/>
        <w:rPr>
          <w:b/>
          <w:bCs/>
        </w:rPr>
      </w:pPr>
      <w:r>
        <w:rPr>
          <w:rStyle w:val="12"/>
        </w:rPr>
        <w:footnoteRef/>
      </w:r>
      <w:r>
        <w:rPr>
          <w:rFonts w:hint="eastAsia" w:ascii="仿宋" w:hAnsi="仿宋" w:eastAsia="仿宋"/>
          <w:sz w:val="18"/>
          <w:szCs w:val="18"/>
        </w:rPr>
        <w:t>广东省应急管理厅关于印发《广东省应急管理厅关于安全风险分级管控办法（试行）》的通知（粤应急规〔2019〕1 号)第六条 ：各类生产经营单位、各类活动组织者（以下统称各类单位）是风险管控的责任主体。各类单位应当采取合理可行的措施，排查、辨识、分析、确认、控制、消除或降低安全风险：</w:t>
      </w:r>
    </w:p>
  </w:footnote>
  <w:footnote w:id="4">
    <w:p>
      <w:pPr>
        <w:pStyle w:val="6"/>
      </w:pPr>
      <w:r>
        <w:rPr>
          <w:rStyle w:val="12"/>
        </w:rPr>
        <w:footnoteRef/>
      </w:r>
      <w:r>
        <w:rPr>
          <w:rFonts w:hint="eastAsia" w:ascii="仿宋" w:hAnsi="仿宋" w:eastAsia="仿宋"/>
          <w:szCs w:val="18"/>
        </w:rPr>
        <w:t>遂溪县广东大华糖业有限公司</w:t>
      </w:r>
      <w:r>
        <w:rPr>
          <w:rFonts w:hint="eastAsia" w:ascii="仿宋" w:hAnsi="仿宋" w:eastAsia="仿宋" w:cs="宋体"/>
          <w:bCs/>
          <w:kern w:val="0"/>
          <w:szCs w:val="18"/>
        </w:rPr>
        <w:t>《XZ-1200(B)离心机使用说明书》中的《分蜜操作注意事项》第8.3.3条：每班在使用离心机前，先用手把转篮转动一至二周，然后开空车运行，同时开热水或蒸汽喷洗转篮筛网至干净为止，最后试验制动是否正常。</w:t>
      </w:r>
    </w:p>
  </w:footnote>
  <w:footnote w:id="5">
    <w:p>
      <w:pPr>
        <w:pStyle w:val="6"/>
        <w:rPr>
          <w:rFonts w:ascii="仿宋" w:hAnsi="仿宋" w:eastAsia="仿宋"/>
          <w:sz w:val="16"/>
          <w:szCs w:val="16"/>
        </w:rPr>
      </w:pPr>
      <w:r>
        <w:rPr>
          <w:rStyle w:val="12"/>
        </w:rPr>
        <w:footnoteRef/>
      </w:r>
      <w:r>
        <w:rPr>
          <w:rFonts w:hint="eastAsia" w:ascii="仿宋" w:hAnsi="仿宋" w:eastAsia="仿宋"/>
          <w:sz w:val="16"/>
          <w:szCs w:val="16"/>
        </w:rPr>
        <w:t>《中华人民共和国安全生产法》第一百零九条：发生生产安全事故，对负有责任的生产经营单位除要求其依法承担相应的赔偿等责任外，由安全生产监督管理部门依照下列规定处以罚款：（一）发生一般事故的，处二十万元以上五十万元以下的罚款；…</w:t>
      </w:r>
    </w:p>
  </w:footnote>
  <w:footnote w:id="6">
    <w:p>
      <w:pPr>
        <w:pStyle w:val="6"/>
      </w:pPr>
      <w:r>
        <w:rPr>
          <w:rStyle w:val="12"/>
        </w:rPr>
        <w:footnoteRef/>
      </w:r>
      <w:r>
        <w:rPr>
          <w:rFonts w:hint="eastAsia" w:ascii="仿宋" w:hAnsi="仿宋" w:eastAsia="仿宋" w:cs="宋体"/>
          <w:kern w:val="0"/>
          <w:szCs w:val="21"/>
        </w:rPr>
        <w:t>《中华人民共和国安全生产法》第十八条一项：建立健全本单位安全生产责任制；第二项：组织制定本单位安全生产规章制度和操作规程；第五项：督促、检查本单位的安全生产工作，及时消除生产安全事故隐患。</w:t>
      </w:r>
    </w:p>
  </w:footnote>
  <w:footnote w:id="7">
    <w:p>
      <w:pPr>
        <w:pStyle w:val="6"/>
      </w:pPr>
      <w:r>
        <w:rPr>
          <w:rStyle w:val="12"/>
        </w:rPr>
        <w:footnoteRef/>
      </w:r>
      <w:r>
        <w:rPr>
          <w:rFonts w:hint="eastAsia" w:ascii="仿宋" w:hAnsi="仿宋" w:eastAsia="仿宋" w:cs="宋体"/>
          <w:kern w:val="0"/>
          <w:szCs w:val="21"/>
        </w:rPr>
        <w:t>《广东省安全生产条例》第十一条第一项：组织制定本条例第十条规定的安全生产规章制度并督促实施；第二项：每半年至少组织一次安全生产全面检查，研究分析安全生产存在的问题，并督促事故防范、隐患排查和整改措施的落实。</w:t>
      </w:r>
    </w:p>
  </w:footnote>
  <w:footnote w:id="8">
    <w:p>
      <w:pPr>
        <w:pStyle w:val="6"/>
      </w:pPr>
      <w:r>
        <w:rPr>
          <w:rStyle w:val="12"/>
        </w:rPr>
        <w:footnoteRef/>
      </w:r>
      <w:r>
        <w:rPr>
          <w:rFonts w:hint="eastAsia" w:ascii="仿宋" w:hAnsi="仿宋" w:eastAsia="仿宋"/>
          <w:szCs w:val="18"/>
        </w:rPr>
        <w:t>《中华人民共和国安全生产法》第九十二条：生产经营单位的主要负责人未履行本法规定的安全生产管理职责，导致发生生产安全事故的，由安全生产监督管理部门依照下列规定处以罚款：（一）发生一般事故的，处上一年年收入百分之三十的罚款；…</w:t>
      </w:r>
    </w:p>
  </w:footnote>
  <w:footnote w:id="9">
    <w:p>
      <w:pPr>
        <w:rPr>
          <w:rFonts w:ascii="仿宋" w:hAnsi="仿宋" w:eastAsia="仿宋" w:cs="宋体"/>
          <w:kern w:val="0"/>
          <w:sz w:val="18"/>
          <w:szCs w:val="21"/>
        </w:rPr>
      </w:pPr>
      <w:r>
        <w:rPr>
          <w:rStyle w:val="12"/>
        </w:rPr>
        <w:footnoteRef/>
      </w:r>
      <w:r>
        <w:rPr>
          <w:rFonts w:hint="eastAsia" w:ascii="仿宋" w:hAnsi="仿宋" w:eastAsia="仿宋" w:cs="宋体"/>
          <w:kern w:val="0"/>
          <w:sz w:val="18"/>
          <w:szCs w:val="21"/>
        </w:rPr>
        <w:t>《湛江市落实企业安全生产主体责任整治工作实施方案》（湛安〔2020〕4 号）在事故调查报告中明确由事故责任企业的主管部门对其主要负责人进行约谈，并予以通报，且在事故发生之日起三个月内，接受安全生产再培训、再教育。</w:t>
      </w:r>
    </w:p>
    <w:p>
      <w:pPr>
        <w:pStyle w:val="6"/>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310BC6"/>
    <w:multiLevelType w:val="singleLevel"/>
    <w:tmpl w:val="36310BC6"/>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20"/>
    <w:footnote w:id="21"/>
  </w:footnotePr>
  <w:compat>
    <w:spaceForUL/>
    <w:balanceSingleByteDoubleByteWidth/>
    <w:doNotLeaveBackslashAlone/>
    <w:ulTrailSpace/>
    <w:doNotExpandShiftReturn/>
    <w:adjustLineHeightInTable/>
    <w:useFELayout/>
    <w:compatSetting w:name="compatibilityMode" w:uri="http://schemas.microsoft.com/office/word" w:val="12"/>
  </w:compat>
  <w:rsids>
    <w:rsidRoot w:val="00D21AE9"/>
    <w:rsid w:val="00005455"/>
    <w:rsid w:val="00006E71"/>
    <w:rsid w:val="0001793F"/>
    <w:rsid w:val="000403D5"/>
    <w:rsid w:val="000560B8"/>
    <w:rsid w:val="000640FB"/>
    <w:rsid w:val="00067697"/>
    <w:rsid w:val="00076D31"/>
    <w:rsid w:val="00094F31"/>
    <w:rsid w:val="000B4760"/>
    <w:rsid w:val="000B599D"/>
    <w:rsid w:val="000C001C"/>
    <w:rsid w:val="000E3743"/>
    <w:rsid w:val="00130C50"/>
    <w:rsid w:val="0013600B"/>
    <w:rsid w:val="00137999"/>
    <w:rsid w:val="00156CDA"/>
    <w:rsid w:val="00187039"/>
    <w:rsid w:val="001D42D5"/>
    <w:rsid w:val="001F68BA"/>
    <w:rsid w:val="001F73BD"/>
    <w:rsid w:val="002077B4"/>
    <w:rsid w:val="002204AF"/>
    <w:rsid w:val="0025029C"/>
    <w:rsid w:val="00296A6E"/>
    <w:rsid w:val="00296F4C"/>
    <w:rsid w:val="002E1B41"/>
    <w:rsid w:val="00321879"/>
    <w:rsid w:val="003224B0"/>
    <w:rsid w:val="00330B72"/>
    <w:rsid w:val="0034067D"/>
    <w:rsid w:val="00350FB4"/>
    <w:rsid w:val="003656E5"/>
    <w:rsid w:val="00365798"/>
    <w:rsid w:val="003B2762"/>
    <w:rsid w:val="003E24A4"/>
    <w:rsid w:val="003E7F6F"/>
    <w:rsid w:val="00457E71"/>
    <w:rsid w:val="00471520"/>
    <w:rsid w:val="0048443A"/>
    <w:rsid w:val="004A1D54"/>
    <w:rsid w:val="004E064E"/>
    <w:rsid w:val="004E59B9"/>
    <w:rsid w:val="0051023D"/>
    <w:rsid w:val="00563577"/>
    <w:rsid w:val="00591BCB"/>
    <w:rsid w:val="005942A7"/>
    <w:rsid w:val="005C3604"/>
    <w:rsid w:val="005C5194"/>
    <w:rsid w:val="005D52A2"/>
    <w:rsid w:val="005E3267"/>
    <w:rsid w:val="006075E8"/>
    <w:rsid w:val="00612DA5"/>
    <w:rsid w:val="00635822"/>
    <w:rsid w:val="00637CCD"/>
    <w:rsid w:val="006469E6"/>
    <w:rsid w:val="0065144D"/>
    <w:rsid w:val="006668F2"/>
    <w:rsid w:val="00697577"/>
    <w:rsid w:val="006A1889"/>
    <w:rsid w:val="006C14F3"/>
    <w:rsid w:val="006C55E4"/>
    <w:rsid w:val="006E4260"/>
    <w:rsid w:val="00715661"/>
    <w:rsid w:val="00726F34"/>
    <w:rsid w:val="00733738"/>
    <w:rsid w:val="00757AFF"/>
    <w:rsid w:val="00771D39"/>
    <w:rsid w:val="00786A67"/>
    <w:rsid w:val="00795199"/>
    <w:rsid w:val="007E6B1A"/>
    <w:rsid w:val="007E7AA5"/>
    <w:rsid w:val="007F5098"/>
    <w:rsid w:val="0082097E"/>
    <w:rsid w:val="00841C7D"/>
    <w:rsid w:val="00845A02"/>
    <w:rsid w:val="0085581C"/>
    <w:rsid w:val="00871510"/>
    <w:rsid w:val="0087244C"/>
    <w:rsid w:val="008A5FCE"/>
    <w:rsid w:val="008C4538"/>
    <w:rsid w:val="008E049D"/>
    <w:rsid w:val="0090135F"/>
    <w:rsid w:val="00905C43"/>
    <w:rsid w:val="00906A70"/>
    <w:rsid w:val="00907F02"/>
    <w:rsid w:val="00912794"/>
    <w:rsid w:val="00914298"/>
    <w:rsid w:val="00921C52"/>
    <w:rsid w:val="00923451"/>
    <w:rsid w:val="00923724"/>
    <w:rsid w:val="0092527C"/>
    <w:rsid w:val="00944118"/>
    <w:rsid w:val="009658FA"/>
    <w:rsid w:val="00990A71"/>
    <w:rsid w:val="009923B7"/>
    <w:rsid w:val="009B038B"/>
    <w:rsid w:val="009C4308"/>
    <w:rsid w:val="009E4EDF"/>
    <w:rsid w:val="00A3295F"/>
    <w:rsid w:val="00A32BD2"/>
    <w:rsid w:val="00A40485"/>
    <w:rsid w:val="00A411DD"/>
    <w:rsid w:val="00A51A91"/>
    <w:rsid w:val="00A569D3"/>
    <w:rsid w:val="00A621A8"/>
    <w:rsid w:val="00AD5353"/>
    <w:rsid w:val="00AE3D5C"/>
    <w:rsid w:val="00AF7E97"/>
    <w:rsid w:val="00B01BBC"/>
    <w:rsid w:val="00B02E1A"/>
    <w:rsid w:val="00B0645F"/>
    <w:rsid w:val="00B21321"/>
    <w:rsid w:val="00B5757C"/>
    <w:rsid w:val="00B82942"/>
    <w:rsid w:val="00BA080F"/>
    <w:rsid w:val="00BA4D6B"/>
    <w:rsid w:val="00BC148D"/>
    <w:rsid w:val="00BC3D79"/>
    <w:rsid w:val="00C03CBB"/>
    <w:rsid w:val="00C14498"/>
    <w:rsid w:val="00C20074"/>
    <w:rsid w:val="00C30FE0"/>
    <w:rsid w:val="00C33CE3"/>
    <w:rsid w:val="00C411F5"/>
    <w:rsid w:val="00C84F66"/>
    <w:rsid w:val="00C95246"/>
    <w:rsid w:val="00CB4DA0"/>
    <w:rsid w:val="00CE3130"/>
    <w:rsid w:val="00CF52EE"/>
    <w:rsid w:val="00D21AE9"/>
    <w:rsid w:val="00D75D39"/>
    <w:rsid w:val="00D864E9"/>
    <w:rsid w:val="00DA26D5"/>
    <w:rsid w:val="00DD2700"/>
    <w:rsid w:val="00DE086A"/>
    <w:rsid w:val="00DE5B8C"/>
    <w:rsid w:val="00DF57D5"/>
    <w:rsid w:val="00E02F65"/>
    <w:rsid w:val="00E111A2"/>
    <w:rsid w:val="00E12355"/>
    <w:rsid w:val="00E2657D"/>
    <w:rsid w:val="00E3299A"/>
    <w:rsid w:val="00E50E6A"/>
    <w:rsid w:val="00E5401B"/>
    <w:rsid w:val="00E55125"/>
    <w:rsid w:val="00EE24C7"/>
    <w:rsid w:val="00EF346F"/>
    <w:rsid w:val="00EF5B54"/>
    <w:rsid w:val="00F403FD"/>
    <w:rsid w:val="00F41668"/>
    <w:rsid w:val="00F73E61"/>
    <w:rsid w:val="00F7416D"/>
    <w:rsid w:val="00F87585"/>
    <w:rsid w:val="00F878E8"/>
    <w:rsid w:val="00F97859"/>
    <w:rsid w:val="00FC4BB2"/>
    <w:rsid w:val="00FD1681"/>
    <w:rsid w:val="0132290E"/>
    <w:rsid w:val="014E592A"/>
    <w:rsid w:val="01507D94"/>
    <w:rsid w:val="01582E7A"/>
    <w:rsid w:val="019A7BE3"/>
    <w:rsid w:val="01BC4285"/>
    <w:rsid w:val="01DD1CC6"/>
    <w:rsid w:val="02137564"/>
    <w:rsid w:val="0224764C"/>
    <w:rsid w:val="02361F37"/>
    <w:rsid w:val="024B3832"/>
    <w:rsid w:val="026B4877"/>
    <w:rsid w:val="03236777"/>
    <w:rsid w:val="0336302F"/>
    <w:rsid w:val="037A42D3"/>
    <w:rsid w:val="039E3ECB"/>
    <w:rsid w:val="03A33B0C"/>
    <w:rsid w:val="03E90BCE"/>
    <w:rsid w:val="03F265CB"/>
    <w:rsid w:val="041E4861"/>
    <w:rsid w:val="046721DB"/>
    <w:rsid w:val="04BD204B"/>
    <w:rsid w:val="04DB2AAE"/>
    <w:rsid w:val="04EF09C5"/>
    <w:rsid w:val="04FF16F5"/>
    <w:rsid w:val="05505BEF"/>
    <w:rsid w:val="055A2C36"/>
    <w:rsid w:val="057C5AAF"/>
    <w:rsid w:val="058E2FD9"/>
    <w:rsid w:val="05BA1221"/>
    <w:rsid w:val="06074DA5"/>
    <w:rsid w:val="060E7348"/>
    <w:rsid w:val="06853923"/>
    <w:rsid w:val="06C454A3"/>
    <w:rsid w:val="06DC432D"/>
    <w:rsid w:val="06FD1F7D"/>
    <w:rsid w:val="073746C0"/>
    <w:rsid w:val="07480B24"/>
    <w:rsid w:val="07500EF5"/>
    <w:rsid w:val="07806C0E"/>
    <w:rsid w:val="078F12BF"/>
    <w:rsid w:val="0795165B"/>
    <w:rsid w:val="07FD198F"/>
    <w:rsid w:val="082F78EF"/>
    <w:rsid w:val="08445311"/>
    <w:rsid w:val="089C097E"/>
    <w:rsid w:val="08CF1B80"/>
    <w:rsid w:val="09301C43"/>
    <w:rsid w:val="095B0C4E"/>
    <w:rsid w:val="09A60775"/>
    <w:rsid w:val="09B86B44"/>
    <w:rsid w:val="09D26E48"/>
    <w:rsid w:val="0A592C94"/>
    <w:rsid w:val="0A642447"/>
    <w:rsid w:val="0A802D00"/>
    <w:rsid w:val="0A974F94"/>
    <w:rsid w:val="0AC3608B"/>
    <w:rsid w:val="0AC5662A"/>
    <w:rsid w:val="0AD35C40"/>
    <w:rsid w:val="0AF2730C"/>
    <w:rsid w:val="0B1A5988"/>
    <w:rsid w:val="0B5477FC"/>
    <w:rsid w:val="0B5E1DBB"/>
    <w:rsid w:val="0B795FC5"/>
    <w:rsid w:val="0B963AF8"/>
    <w:rsid w:val="0BA21CC4"/>
    <w:rsid w:val="0BA710FC"/>
    <w:rsid w:val="0BAE2A56"/>
    <w:rsid w:val="0BD9468D"/>
    <w:rsid w:val="0BE8368C"/>
    <w:rsid w:val="0BF35A3E"/>
    <w:rsid w:val="0C2256EB"/>
    <w:rsid w:val="0C775FA0"/>
    <w:rsid w:val="0C7934DA"/>
    <w:rsid w:val="0C970B29"/>
    <w:rsid w:val="0C9B4183"/>
    <w:rsid w:val="0CA337A5"/>
    <w:rsid w:val="0CB705CC"/>
    <w:rsid w:val="0CC91998"/>
    <w:rsid w:val="0D102553"/>
    <w:rsid w:val="0D1803C2"/>
    <w:rsid w:val="0D182379"/>
    <w:rsid w:val="0D410944"/>
    <w:rsid w:val="0D453258"/>
    <w:rsid w:val="0DAD1755"/>
    <w:rsid w:val="0DAF37C9"/>
    <w:rsid w:val="0DE031DC"/>
    <w:rsid w:val="0E081279"/>
    <w:rsid w:val="0E250C5F"/>
    <w:rsid w:val="0E3275CC"/>
    <w:rsid w:val="0E4F0E89"/>
    <w:rsid w:val="0E552ACC"/>
    <w:rsid w:val="0E7218AE"/>
    <w:rsid w:val="0E7310DC"/>
    <w:rsid w:val="0EC40CD8"/>
    <w:rsid w:val="0ED12BD7"/>
    <w:rsid w:val="0F091CA7"/>
    <w:rsid w:val="0F1546D9"/>
    <w:rsid w:val="0F6050B8"/>
    <w:rsid w:val="0F6249A3"/>
    <w:rsid w:val="0FA2417E"/>
    <w:rsid w:val="0FA55105"/>
    <w:rsid w:val="0FD44E64"/>
    <w:rsid w:val="10045250"/>
    <w:rsid w:val="10967536"/>
    <w:rsid w:val="10BE1D1C"/>
    <w:rsid w:val="10DB760F"/>
    <w:rsid w:val="113305AC"/>
    <w:rsid w:val="113F26F1"/>
    <w:rsid w:val="11AB5955"/>
    <w:rsid w:val="11D33CD5"/>
    <w:rsid w:val="11E958F8"/>
    <w:rsid w:val="12233AF3"/>
    <w:rsid w:val="12517B74"/>
    <w:rsid w:val="126174FD"/>
    <w:rsid w:val="12B339B5"/>
    <w:rsid w:val="12F07436"/>
    <w:rsid w:val="12F73473"/>
    <w:rsid w:val="12FB64F2"/>
    <w:rsid w:val="13175276"/>
    <w:rsid w:val="13493A0B"/>
    <w:rsid w:val="138719DF"/>
    <w:rsid w:val="139542A1"/>
    <w:rsid w:val="13BF54A4"/>
    <w:rsid w:val="14315299"/>
    <w:rsid w:val="147A4016"/>
    <w:rsid w:val="149D24D4"/>
    <w:rsid w:val="14FF0AAE"/>
    <w:rsid w:val="150161A6"/>
    <w:rsid w:val="150A0853"/>
    <w:rsid w:val="152C5683"/>
    <w:rsid w:val="15684B72"/>
    <w:rsid w:val="15A403C0"/>
    <w:rsid w:val="15AB03ED"/>
    <w:rsid w:val="15ED3FF2"/>
    <w:rsid w:val="16275DD5"/>
    <w:rsid w:val="16283416"/>
    <w:rsid w:val="164930E1"/>
    <w:rsid w:val="16542A9E"/>
    <w:rsid w:val="16AB44D5"/>
    <w:rsid w:val="16C449FD"/>
    <w:rsid w:val="17045EE6"/>
    <w:rsid w:val="174A0BCB"/>
    <w:rsid w:val="17C4142D"/>
    <w:rsid w:val="17D76E60"/>
    <w:rsid w:val="17EF2AD6"/>
    <w:rsid w:val="17F908CC"/>
    <w:rsid w:val="180A43F9"/>
    <w:rsid w:val="181471D1"/>
    <w:rsid w:val="185A16FB"/>
    <w:rsid w:val="19736D6C"/>
    <w:rsid w:val="197B6F26"/>
    <w:rsid w:val="197E2E63"/>
    <w:rsid w:val="19BE4A8A"/>
    <w:rsid w:val="19F510B8"/>
    <w:rsid w:val="1A105D59"/>
    <w:rsid w:val="1A13141F"/>
    <w:rsid w:val="1AAB2349"/>
    <w:rsid w:val="1AE654C9"/>
    <w:rsid w:val="1B27355E"/>
    <w:rsid w:val="1B361803"/>
    <w:rsid w:val="1B955629"/>
    <w:rsid w:val="1BA87D94"/>
    <w:rsid w:val="1BB6452C"/>
    <w:rsid w:val="1C04210C"/>
    <w:rsid w:val="1C21275B"/>
    <w:rsid w:val="1C441EC5"/>
    <w:rsid w:val="1C713A8C"/>
    <w:rsid w:val="1CA40446"/>
    <w:rsid w:val="1CD17A7B"/>
    <w:rsid w:val="1CF932D8"/>
    <w:rsid w:val="1D0411AA"/>
    <w:rsid w:val="1D0F2488"/>
    <w:rsid w:val="1D1023F0"/>
    <w:rsid w:val="1D2B1869"/>
    <w:rsid w:val="1D3E41E9"/>
    <w:rsid w:val="1DA058BD"/>
    <w:rsid w:val="1DC7335E"/>
    <w:rsid w:val="1DD21568"/>
    <w:rsid w:val="1DFE3074"/>
    <w:rsid w:val="1E4F42B1"/>
    <w:rsid w:val="1E632B22"/>
    <w:rsid w:val="1E762B9D"/>
    <w:rsid w:val="1E824BAF"/>
    <w:rsid w:val="1E847AD6"/>
    <w:rsid w:val="1EAA5A22"/>
    <w:rsid w:val="1EBE476C"/>
    <w:rsid w:val="1ECD3974"/>
    <w:rsid w:val="1EFD0E79"/>
    <w:rsid w:val="1F266703"/>
    <w:rsid w:val="1F2A02B9"/>
    <w:rsid w:val="1F7024D4"/>
    <w:rsid w:val="1FAA12B3"/>
    <w:rsid w:val="1FAA172E"/>
    <w:rsid w:val="1FBE07B4"/>
    <w:rsid w:val="1FCF1247"/>
    <w:rsid w:val="1FDC151A"/>
    <w:rsid w:val="1FDE5376"/>
    <w:rsid w:val="202D6894"/>
    <w:rsid w:val="203E257A"/>
    <w:rsid w:val="20BD132D"/>
    <w:rsid w:val="20E47BD9"/>
    <w:rsid w:val="21152514"/>
    <w:rsid w:val="21260D72"/>
    <w:rsid w:val="21452F5E"/>
    <w:rsid w:val="217215EC"/>
    <w:rsid w:val="21AB3DCD"/>
    <w:rsid w:val="21B179F3"/>
    <w:rsid w:val="21BF3879"/>
    <w:rsid w:val="21C02E14"/>
    <w:rsid w:val="21C54DDA"/>
    <w:rsid w:val="21CC1AEF"/>
    <w:rsid w:val="21CE22C7"/>
    <w:rsid w:val="22082942"/>
    <w:rsid w:val="2215360B"/>
    <w:rsid w:val="22192E29"/>
    <w:rsid w:val="224D1A79"/>
    <w:rsid w:val="22562F3D"/>
    <w:rsid w:val="225755CF"/>
    <w:rsid w:val="22951328"/>
    <w:rsid w:val="229D13BD"/>
    <w:rsid w:val="22C82B71"/>
    <w:rsid w:val="22E9767E"/>
    <w:rsid w:val="2302201C"/>
    <w:rsid w:val="232E225A"/>
    <w:rsid w:val="23521E20"/>
    <w:rsid w:val="23903A12"/>
    <w:rsid w:val="23B94358"/>
    <w:rsid w:val="24423A33"/>
    <w:rsid w:val="24784301"/>
    <w:rsid w:val="247F47DE"/>
    <w:rsid w:val="24A918A2"/>
    <w:rsid w:val="24D66987"/>
    <w:rsid w:val="24F439D5"/>
    <w:rsid w:val="251C4C30"/>
    <w:rsid w:val="252722D1"/>
    <w:rsid w:val="252F7FFA"/>
    <w:rsid w:val="254F17C7"/>
    <w:rsid w:val="25561C5A"/>
    <w:rsid w:val="25906D86"/>
    <w:rsid w:val="25AE621D"/>
    <w:rsid w:val="25B16D87"/>
    <w:rsid w:val="25B234B8"/>
    <w:rsid w:val="25B93E5E"/>
    <w:rsid w:val="25DC0BF2"/>
    <w:rsid w:val="25F76F49"/>
    <w:rsid w:val="26427B85"/>
    <w:rsid w:val="26510581"/>
    <w:rsid w:val="26A9176F"/>
    <w:rsid w:val="26B9698D"/>
    <w:rsid w:val="26F25905"/>
    <w:rsid w:val="27A1646C"/>
    <w:rsid w:val="27AE29CF"/>
    <w:rsid w:val="27CC376A"/>
    <w:rsid w:val="281D7C9A"/>
    <w:rsid w:val="28297441"/>
    <w:rsid w:val="28322ABB"/>
    <w:rsid w:val="287F6612"/>
    <w:rsid w:val="288C5327"/>
    <w:rsid w:val="288F353E"/>
    <w:rsid w:val="28B00A63"/>
    <w:rsid w:val="29183D9C"/>
    <w:rsid w:val="29447C8E"/>
    <w:rsid w:val="29A250FB"/>
    <w:rsid w:val="29CB73DA"/>
    <w:rsid w:val="2A6E3E8F"/>
    <w:rsid w:val="2A8326AF"/>
    <w:rsid w:val="2A907DB6"/>
    <w:rsid w:val="2AD854C6"/>
    <w:rsid w:val="2AEA1EFB"/>
    <w:rsid w:val="2AFB79DC"/>
    <w:rsid w:val="2B1A31B1"/>
    <w:rsid w:val="2B542C9A"/>
    <w:rsid w:val="2B6E4DAE"/>
    <w:rsid w:val="2BBA7192"/>
    <w:rsid w:val="2BE01016"/>
    <w:rsid w:val="2BF553DC"/>
    <w:rsid w:val="2C1B70D2"/>
    <w:rsid w:val="2C2C79B1"/>
    <w:rsid w:val="2C36103A"/>
    <w:rsid w:val="2C993040"/>
    <w:rsid w:val="2CA31DC5"/>
    <w:rsid w:val="2CB13C27"/>
    <w:rsid w:val="2D0760A5"/>
    <w:rsid w:val="2D7C29EB"/>
    <w:rsid w:val="2DF130F5"/>
    <w:rsid w:val="2E2D1314"/>
    <w:rsid w:val="2E395713"/>
    <w:rsid w:val="2E6651AF"/>
    <w:rsid w:val="2E9E2AC2"/>
    <w:rsid w:val="2EB26D14"/>
    <w:rsid w:val="2EE94255"/>
    <w:rsid w:val="2EF25F29"/>
    <w:rsid w:val="2EFB360D"/>
    <w:rsid w:val="2F1821B6"/>
    <w:rsid w:val="2F1C00E7"/>
    <w:rsid w:val="2FEC6123"/>
    <w:rsid w:val="2FF57698"/>
    <w:rsid w:val="30583E1A"/>
    <w:rsid w:val="309B6B44"/>
    <w:rsid w:val="30AA2259"/>
    <w:rsid w:val="30CF095C"/>
    <w:rsid w:val="30FA1E0A"/>
    <w:rsid w:val="31414096"/>
    <w:rsid w:val="31887C43"/>
    <w:rsid w:val="31CE0090"/>
    <w:rsid w:val="31E73106"/>
    <w:rsid w:val="3216249A"/>
    <w:rsid w:val="322B7C02"/>
    <w:rsid w:val="32826223"/>
    <w:rsid w:val="32D31C51"/>
    <w:rsid w:val="32DC74F9"/>
    <w:rsid w:val="32F8540C"/>
    <w:rsid w:val="32FD2751"/>
    <w:rsid w:val="332F6195"/>
    <w:rsid w:val="333D0F6F"/>
    <w:rsid w:val="33433D7B"/>
    <w:rsid w:val="33551A3D"/>
    <w:rsid w:val="33934B59"/>
    <w:rsid w:val="339D2720"/>
    <w:rsid w:val="33AB34B3"/>
    <w:rsid w:val="33BD4695"/>
    <w:rsid w:val="34606919"/>
    <w:rsid w:val="349A3A84"/>
    <w:rsid w:val="34C50D7F"/>
    <w:rsid w:val="34DC46E9"/>
    <w:rsid w:val="35084D56"/>
    <w:rsid w:val="353769B6"/>
    <w:rsid w:val="357A1A95"/>
    <w:rsid w:val="35B858BD"/>
    <w:rsid w:val="35C31DE8"/>
    <w:rsid w:val="35CD3B0A"/>
    <w:rsid w:val="362176DB"/>
    <w:rsid w:val="365B406C"/>
    <w:rsid w:val="368C7E1C"/>
    <w:rsid w:val="36960C8E"/>
    <w:rsid w:val="36DF459A"/>
    <w:rsid w:val="370B4BFC"/>
    <w:rsid w:val="372C6B50"/>
    <w:rsid w:val="374D68C9"/>
    <w:rsid w:val="37550A4A"/>
    <w:rsid w:val="375E4442"/>
    <w:rsid w:val="37BA6068"/>
    <w:rsid w:val="37CD4058"/>
    <w:rsid w:val="37DA1332"/>
    <w:rsid w:val="380934A9"/>
    <w:rsid w:val="386455D3"/>
    <w:rsid w:val="38A118F8"/>
    <w:rsid w:val="38D0319F"/>
    <w:rsid w:val="38D53182"/>
    <w:rsid w:val="391E1013"/>
    <w:rsid w:val="394D6C02"/>
    <w:rsid w:val="39693ED2"/>
    <w:rsid w:val="39923799"/>
    <w:rsid w:val="39D92ABD"/>
    <w:rsid w:val="3A051854"/>
    <w:rsid w:val="3A09725E"/>
    <w:rsid w:val="3A617333"/>
    <w:rsid w:val="3A6A3C79"/>
    <w:rsid w:val="3A9172A9"/>
    <w:rsid w:val="3AA06A06"/>
    <w:rsid w:val="3AA51FFC"/>
    <w:rsid w:val="3AB76E56"/>
    <w:rsid w:val="3AE052CC"/>
    <w:rsid w:val="3B060D8A"/>
    <w:rsid w:val="3B0C5DE2"/>
    <w:rsid w:val="3B63584F"/>
    <w:rsid w:val="3B8F5824"/>
    <w:rsid w:val="3BC7263E"/>
    <w:rsid w:val="3BD7085E"/>
    <w:rsid w:val="3BEA53A4"/>
    <w:rsid w:val="3C2B103B"/>
    <w:rsid w:val="3C4303FB"/>
    <w:rsid w:val="3C5449B4"/>
    <w:rsid w:val="3C665BF6"/>
    <w:rsid w:val="3C8D508C"/>
    <w:rsid w:val="3CA214EB"/>
    <w:rsid w:val="3CA25950"/>
    <w:rsid w:val="3D1F1BFC"/>
    <w:rsid w:val="3D290321"/>
    <w:rsid w:val="3D3F73BE"/>
    <w:rsid w:val="3D53151A"/>
    <w:rsid w:val="3D6568C0"/>
    <w:rsid w:val="3D682E74"/>
    <w:rsid w:val="3D6F48E6"/>
    <w:rsid w:val="3E4B172C"/>
    <w:rsid w:val="3E607502"/>
    <w:rsid w:val="3EC46721"/>
    <w:rsid w:val="3EC76F78"/>
    <w:rsid w:val="3ECA6D01"/>
    <w:rsid w:val="3EDA072B"/>
    <w:rsid w:val="3F6F3D97"/>
    <w:rsid w:val="3F767E7B"/>
    <w:rsid w:val="3F862CE9"/>
    <w:rsid w:val="3FA746C1"/>
    <w:rsid w:val="3FCD0703"/>
    <w:rsid w:val="3FEC5049"/>
    <w:rsid w:val="40001807"/>
    <w:rsid w:val="400112B2"/>
    <w:rsid w:val="402F59D9"/>
    <w:rsid w:val="403354E7"/>
    <w:rsid w:val="406A4E04"/>
    <w:rsid w:val="409848F7"/>
    <w:rsid w:val="40D76488"/>
    <w:rsid w:val="40F86907"/>
    <w:rsid w:val="40FC2AC2"/>
    <w:rsid w:val="417651B1"/>
    <w:rsid w:val="419C700B"/>
    <w:rsid w:val="41A17189"/>
    <w:rsid w:val="41EB5DB8"/>
    <w:rsid w:val="421567F8"/>
    <w:rsid w:val="42184F66"/>
    <w:rsid w:val="42307324"/>
    <w:rsid w:val="425A4ED2"/>
    <w:rsid w:val="42640DAE"/>
    <w:rsid w:val="426725CE"/>
    <w:rsid w:val="42B7589A"/>
    <w:rsid w:val="42E669FC"/>
    <w:rsid w:val="42E677F8"/>
    <w:rsid w:val="42E8744F"/>
    <w:rsid w:val="430B3E2C"/>
    <w:rsid w:val="430D7965"/>
    <w:rsid w:val="431705B6"/>
    <w:rsid w:val="432539DD"/>
    <w:rsid w:val="433D496B"/>
    <w:rsid w:val="4360755E"/>
    <w:rsid w:val="43C322A8"/>
    <w:rsid w:val="44072FCE"/>
    <w:rsid w:val="44187B4A"/>
    <w:rsid w:val="44513CC4"/>
    <w:rsid w:val="44831545"/>
    <w:rsid w:val="449C63A5"/>
    <w:rsid w:val="44AF506A"/>
    <w:rsid w:val="44C028BD"/>
    <w:rsid w:val="44F33D7F"/>
    <w:rsid w:val="450200BC"/>
    <w:rsid w:val="4507424E"/>
    <w:rsid w:val="45096BAE"/>
    <w:rsid w:val="454A4665"/>
    <w:rsid w:val="454E499F"/>
    <w:rsid w:val="4586239F"/>
    <w:rsid w:val="45B467FD"/>
    <w:rsid w:val="45DB6E38"/>
    <w:rsid w:val="4636654E"/>
    <w:rsid w:val="464325FD"/>
    <w:rsid w:val="464A6729"/>
    <w:rsid w:val="464C5439"/>
    <w:rsid w:val="465F6E15"/>
    <w:rsid w:val="46925E1A"/>
    <w:rsid w:val="469264A2"/>
    <w:rsid w:val="469323A8"/>
    <w:rsid w:val="469B0E2E"/>
    <w:rsid w:val="46CD0853"/>
    <w:rsid w:val="46CF63B6"/>
    <w:rsid w:val="46CF71B3"/>
    <w:rsid w:val="46D801D0"/>
    <w:rsid w:val="46E4275B"/>
    <w:rsid w:val="46E920D6"/>
    <w:rsid w:val="46FF107D"/>
    <w:rsid w:val="470F3A5A"/>
    <w:rsid w:val="473529B5"/>
    <w:rsid w:val="476A1D4A"/>
    <w:rsid w:val="476A5C4F"/>
    <w:rsid w:val="477D4635"/>
    <w:rsid w:val="478B76C4"/>
    <w:rsid w:val="479512C7"/>
    <w:rsid w:val="47C15592"/>
    <w:rsid w:val="48193AEB"/>
    <w:rsid w:val="48276CE6"/>
    <w:rsid w:val="485F6232"/>
    <w:rsid w:val="488C743C"/>
    <w:rsid w:val="489B605C"/>
    <w:rsid w:val="48A26BDE"/>
    <w:rsid w:val="48AC2707"/>
    <w:rsid w:val="48AD1D06"/>
    <w:rsid w:val="48B3530F"/>
    <w:rsid w:val="48B8705C"/>
    <w:rsid w:val="48E54504"/>
    <w:rsid w:val="49591AF3"/>
    <w:rsid w:val="49687E85"/>
    <w:rsid w:val="497D42ED"/>
    <w:rsid w:val="49825EAE"/>
    <w:rsid w:val="498306FE"/>
    <w:rsid w:val="49B159F5"/>
    <w:rsid w:val="49C57B66"/>
    <w:rsid w:val="49C611D3"/>
    <w:rsid w:val="49D94510"/>
    <w:rsid w:val="4A00670B"/>
    <w:rsid w:val="4A240521"/>
    <w:rsid w:val="4A3B20B5"/>
    <w:rsid w:val="4AB37591"/>
    <w:rsid w:val="4ABE1AD3"/>
    <w:rsid w:val="4B0620B0"/>
    <w:rsid w:val="4B0C05FC"/>
    <w:rsid w:val="4B0C4B90"/>
    <w:rsid w:val="4B692A44"/>
    <w:rsid w:val="4B6C1327"/>
    <w:rsid w:val="4B7B02A2"/>
    <w:rsid w:val="4B7D6C71"/>
    <w:rsid w:val="4BE92F81"/>
    <w:rsid w:val="4C0010FC"/>
    <w:rsid w:val="4C034B7C"/>
    <w:rsid w:val="4C27176C"/>
    <w:rsid w:val="4C4A4E3C"/>
    <w:rsid w:val="4C4D3F68"/>
    <w:rsid w:val="4D014B36"/>
    <w:rsid w:val="4D34002F"/>
    <w:rsid w:val="4D352284"/>
    <w:rsid w:val="4D691E89"/>
    <w:rsid w:val="4D693807"/>
    <w:rsid w:val="4D754656"/>
    <w:rsid w:val="4D870D8D"/>
    <w:rsid w:val="4D9F0046"/>
    <w:rsid w:val="4DC52FEF"/>
    <w:rsid w:val="4E513160"/>
    <w:rsid w:val="4E577C34"/>
    <w:rsid w:val="4E674E7A"/>
    <w:rsid w:val="4EA76AA9"/>
    <w:rsid w:val="4EF26F86"/>
    <w:rsid w:val="4F0F11DB"/>
    <w:rsid w:val="4F3E7EAD"/>
    <w:rsid w:val="4F9023B1"/>
    <w:rsid w:val="4FA9698D"/>
    <w:rsid w:val="4FDA792B"/>
    <w:rsid w:val="4FF22460"/>
    <w:rsid w:val="5023289D"/>
    <w:rsid w:val="50274DC8"/>
    <w:rsid w:val="503928C9"/>
    <w:rsid w:val="504C3220"/>
    <w:rsid w:val="505A2677"/>
    <w:rsid w:val="5092527D"/>
    <w:rsid w:val="50B53635"/>
    <w:rsid w:val="50C91002"/>
    <w:rsid w:val="50E413B5"/>
    <w:rsid w:val="51117CCE"/>
    <w:rsid w:val="513D5EA6"/>
    <w:rsid w:val="51767896"/>
    <w:rsid w:val="51912A22"/>
    <w:rsid w:val="519A2DD1"/>
    <w:rsid w:val="51CF7C00"/>
    <w:rsid w:val="51EF39B1"/>
    <w:rsid w:val="51F50432"/>
    <w:rsid w:val="52220C62"/>
    <w:rsid w:val="526E671F"/>
    <w:rsid w:val="527A2148"/>
    <w:rsid w:val="52861578"/>
    <w:rsid w:val="52A97289"/>
    <w:rsid w:val="52FF641F"/>
    <w:rsid w:val="53487C40"/>
    <w:rsid w:val="535F5277"/>
    <w:rsid w:val="53B105E5"/>
    <w:rsid w:val="53B64DF2"/>
    <w:rsid w:val="53B75B61"/>
    <w:rsid w:val="53C97929"/>
    <w:rsid w:val="53D77C19"/>
    <w:rsid w:val="53DD2EC6"/>
    <w:rsid w:val="53E032CA"/>
    <w:rsid w:val="53F07D04"/>
    <w:rsid w:val="540F1F59"/>
    <w:rsid w:val="54247EB3"/>
    <w:rsid w:val="542E6D8C"/>
    <w:rsid w:val="543B7E28"/>
    <w:rsid w:val="545B7965"/>
    <w:rsid w:val="549E68E3"/>
    <w:rsid w:val="54B86795"/>
    <w:rsid w:val="54CB46AD"/>
    <w:rsid w:val="54D47A47"/>
    <w:rsid w:val="54DB600D"/>
    <w:rsid w:val="54F92E01"/>
    <w:rsid w:val="54FD0221"/>
    <w:rsid w:val="55165BEE"/>
    <w:rsid w:val="552F247E"/>
    <w:rsid w:val="55ED25F0"/>
    <w:rsid w:val="56661D24"/>
    <w:rsid w:val="56782BC5"/>
    <w:rsid w:val="568729F2"/>
    <w:rsid w:val="56876EA5"/>
    <w:rsid w:val="568B77F9"/>
    <w:rsid w:val="56D708E8"/>
    <w:rsid w:val="56DE4F18"/>
    <w:rsid w:val="57140476"/>
    <w:rsid w:val="57B60E38"/>
    <w:rsid w:val="57D16227"/>
    <w:rsid w:val="57FE7610"/>
    <w:rsid w:val="5801286A"/>
    <w:rsid w:val="5870710F"/>
    <w:rsid w:val="587730AA"/>
    <w:rsid w:val="588976A3"/>
    <w:rsid w:val="58A90E95"/>
    <w:rsid w:val="58BD1C5C"/>
    <w:rsid w:val="58BF0013"/>
    <w:rsid w:val="59161164"/>
    <w:rsid w:val="592C0994"/>
    <w:rsid w:val="593D3940"/>
    <w:rsid w:val="595E47F7"/>
    <w:rsid w:val="59824382"/>
    <w:rsid w:val="599174EA"/>
    <w:rsid w:val="59CD7CF0"/>
    <w:rsid w:val="59FB78FD"/>
    <w:rsid w:val="5A2617A2"/>
    <w:rsid w:val="5A306B2A"/>
    <w:rsid w:val="5A724510"/>
    <w:rsid w:val="5A725914"/>
    <w:rsid w:val="5AC17F0A"/>
    <w:rsid w:val="5ADC2FDC"/>
    <w:rsid w:val="5B5275EE"/>
    <w:rsid w:val="5B611A48"/>
    <w:rsid w:val="5B813F20"/>
    <w:rsid w:val="5B977AA6"/>
    <w:rsid w:val="5B980516"/>
    <w:rsid w:val="5B9A2669"/>
    <w:rsid w:val="5BCA25DA"/>
    <w:rsid w:val="5C774EFA"/>
    <w:rsid w:val="5CA77732"/>
    <w:rsid w:val="5CFE170C"/>
    <w:rsid w:val="5D3707FC"/>
    <w:rsid w:val="5D47136C"/>
    <w:rsid w:val="5D60665B"/>
    <w:rsid w:val="5D7D5666"/>
    <w:rsid w:val="5D8D5592"/>
    <w:rsid w:val="5DD320B9"/>
    <w:rsid w:val="5E267982"/>
    <w:rsid w:val="5E430C63"/>
    <w:rsid w:val="5E9E7175"/>
    <w:rsid w:val="5EB36E80"/>
    <w:rsid w:val="5EC25BC1"/>
    <w:rsid w:val="5ECF48B4"/>
    <w:rsid w:val="5F032EAE"/>
    <w:rsid w:val="5F3A2594"/>
    <w:rsid w:val="5F481E68"/>
    <w:rsid w:val="5F565F21"/>
    <w:rsid w:val="5FA32719"/>
    <w:rsid w:val="5FDC0162"/>
    <w:rsid w:val="5FFB5796"/>
    <w:rsid w:val="6036591D"/>
    <w:rsid w:val="603A7F76"/>
    <w:rsid w:val="607B0CC0"/>
    <w:rsid w:val="6093509E"/>
    <w:rsid w:val="60BE797B"/>
    <w:rsid w:val="60E72AB1"/>
    <w:rsid w:val="60F83FBF"/>
    <w:rsid w:val="61B62159"/>
    <w:rsid w:val="621138B8"/>
    <w:rsid w:val="625A3A24"/>
    <w:rsid w:val="62945CCB"/>
    <w:rsid w:val="629E13BB"/>
    <w:rsid w:val="62B1243B"/>
    <w:rsid w:val="62CC29EB"/>
    <w:rsid w:val="63130EBE"/>
    <w:rsid w:val="63481D49"/>
    <w:rsid w:val="636E1EC9"/>
    <w:rsid w:val="637F5C0D"/>
    <w:rsid w:val="63816B57"/>
    <w:rsid w:val="63B51ACD"/>
    <w:rsid w:val="63C73441"/>
    <w:rsid w:val="63C93FD8"/>
    <w:rsid w:val="63EA3036"/>
    <w:rsid w:val="64155491"/>
    <w:rsid w:val="642A0D0A"/>
    <w:rsid w:val="64372AD5"/>
    <w:rsid w:val="645E6ADB"/>
    <w:rsid w:val="649A1DA6"/>
    <w:rsid w:val="64BE33AD"/>
    <w:rsid w:val="64C23C1B"/>
    <w:rsid w:val="64EA7F55"/>
    <w:rsid w:val="64F30000"/>
    <w:rsid w:val="65286A34"/>
    <w:rsid w:val="654024AD"/>
    <w:rsid w:val="65544C66"/>
    <w:rsid w:val="65743B3F"/>
    <w:rsid w:val="65AD2063"/>
    <w:rsid w:val="65B40B93"/>
    <w:rsid w:val="65D91D48"/>
    <w:rsid w:val="66071C18"/>
    <w:rsid w:val="66957A71"/>
    <w:rsid w:val="66D020E5"/>
    <w:rsid w:val="66D735A7"/>
    <w:rsid w:val="67017294"/>
    <w:rsid w:val="674E0718"/>
    <w:rsid w:val="67833DE5"/>
    <w:rsid w:val="67C07E2D"/>
    <w:rsid w:val="67FC6C7B"/>
    <w:rsid w:val="68056D67"/>
    <w:rsid w:val="680A46C7"/>
    <w:rsid w:val="68976211"/>
    <w:rsid w:val="68A34E54"/>
    <w:rsid w:val="68C96689"/>
    <w:rsid w:val="68E35817"/>
    <w:rsid w:val="68F14436"/>
    <w:rsid w:val="68F72DA6"/>
    <w:rsid w:val="69373FD9"/>
    <w:rsid w:val="69440D36"/>
    <w:rsid w:val="69447F15"/>
    <w:rsid w:val="694E64B0"/>
    <w:rsid w:val="69530471"/>
    <w:rsid w:val="6957468F"/>
    <w:rsid w:val="697C69F4"/>
    <w:rsid w:val="698D6EF2"/>
    <w:rsid w:val="69A125D3"/>
    <w:rsid w:val="69B20A48"/>
    <w:rsid w:val="69C07059"/>
    <w:rsid w:val="69D2060D"/>
    <w:rsid w:val="6AC711CF"/>
    <w:rsid w:val="6ADC33F2"/>
    <w:rsid w:val="6ADE4437"/>
    <w:rsid w:val="6AFE4EA4"/>
    <w:rsid w:val="6B5245D4"/>
    <w:rsid w:val="6B5616A8"/>
    <w:rsid w:val="6BB75F27"/>
    <w:rsid w:val="6C0F01F4"/>
    <w:rsid w:val="6C7F147A"/>
    <w:rsid w:val="6CB10EDA"/>
    <w:rsid w:val="6CDD1F63"/>
    <w:rsid w:val="6CEA494E"/>
    <w:rsid w:val="6D220894"/>
    <w:rsid w:val="6D4D72F8"/>
    <w:rsid w:val="6D555C23"/>
    <w:rsid w:val="6D6E713D"/>
    <w:rsid w:val="6D7B1263"/>
    <w:rsid w:val="6D7C4481"/>
    <w:rsid w:val="6D7E0F3A"/>
    <w:rsid w:val="6DA04D4A"/>
    <w:rsid w:val="6DBC5A47"/>
    <w:rsid w:val="6DDF022B"/>
    <w:rsid w:val="6DE616C2"/>
    <w:rsid w:val="6E1E06EE"/>
    <w:rsid w:val="6E5F7B0F"/>
    <w:rsid w:val="6E9A62B8"/>
    <w:rsid w:val="6ECC6FC4"/>
    <w:rsid w:val="6EF20E89"/>
    <w:rsid w:val="6F291ABE"/>
    <w:rsid w:val="6F6875D8"/>
    <w:rsid w:val="6F6966C8"/>
    <w:rsid w:val="6F755071"/>
    <w:rsid w:val="6F8E5A94"/>
    <w:rsid w:val="6F8F5E86"/>
    <w:rsid w:val="6FC87350"/>
    <w:rsid w:val="6FE21CBD"/>
    <w:rsid w:val="70283DF7"/>
    <w:rsid w:val="70667AC8"/>
    <w:rsid w:val="70A26EAA"/>
    <w:rsid w:val="70D97352"/>
    <w:rsid w:val="70E8711F"/>
    <w:rsid w:val="70F12F03"/>
    <w:rsid w:val="71035000"/>
    <w:rsid w:val="710A0C01"/>
    <w:rsid w:val="71134C04"/>
    <w:rsid w:val="711C017F"/>
    <w:rsid w:val="712E36F5"/>
    <w:rsid w:val="71386B85"/>
    <w:rsid w:val="718773FB"/>
    <w:rsid w:val="718A296D"/>
    <w:rsid w:val="7199219A"/>
    <w:rsid w:val="71AB54D6"/>
    <w:rsid w:val="71B2358E"/>
    <w:rsid w:val="71B96D50"/>
    <w:rsid w:val="71F35F92"/>
    <w:rsid w:val="720D3FC8"/>
    <w:rsid w:val="72332685"/>
    <w:rsid w:val="723E21F0"/>
    <w:rsid w:val="729A1FC6"/>
    <w:rsid w:val="729B54CB"/>
    <w:rsid w:val="729D07BC"/>
    <w:rsid w:val="72C051C9"/>
    <w:rsid w:val="72C35ED5"/>
    <w:rsid w:val="72CD1F19"/>
    <w:rsid w:val="72EA4820"/>
    <w:rsid w:val="730737F0"/>
    <w:rsid w:val="73887236"/>
    <w:rsid w:val="738E79AC"/>
    <w:rsid w:val="73995035"/>
    <w:rsid w:val="739D2F95"/>
    <w:rsid w:val="73A415BE"/>
    <w:rsid w:val="73DA1CF8"/>
    <w:rsid w:val="73FC6F01"/>
    <w:rsid w:val="740703D8"/>
    <w:rsid w:val="743A38F0"/>
    <w:rsid w:val="746A1EDA"/>
    <w:rsid w:val="747D5081"/>
    <w:rsid w:val="7490145F"/>
    <w:rsid w:val="74B701DC"/>
    <w:rsid w:val="74CC0FB0"/>
    <w:rsid w:val="74DA71F2"/>
    <w:rsid w:val="74DC2168"/>
    <w:rsid w:val="75070396"/>
    <w:rsid w:val="75184A7A"/>
    <w:rsid w:val="751A40D7"/>
    <w:rsid w:val="752F2662"/>
    <w:rsid w:val="75606E65"/>
    <w:rsid w:val="75D1061E"/>
    <w:rsid w:val="75D56215"/>
    <w:rsid w:val="75EA3DDA"/>
    <w:rsid w:val="75EC77EC"/>
    <w:rsid w:val="75F36D88"/>
    <w:rsid w:val="75FF4EA6"/>
    <w:rsid w:val="7668735F"/>
    <w:rsid w:val="76B56C88"/>
    <w:rsid w:val="76E37408"/>
    <w:rsid w:val="76E41FCB"/>
    <w:rsid w:val="77525C41"/>
    <w:rsid w:val="775C0B14"/>
    <w:rsid w:val="77B0718D"/>
    <w:rsid w:val="77E0345E"/>
    <w:rsid w:val="78BD418C"/>
    <w:rsid w:val="78BD68E4"/>
    <w:rsid w:val="78BD7618"/>
    <w:rsid w:val="78C60792"/>
    <w:rsid w:val="79177827"/>
    <w:rsid w:val="795D2C06"/>
    <w:rsid w:val="79914C7A"/>
    <w:rsid w:val="79986D10"/>
    <w:rsid w:val="79A72907"/>
    <w:rsid w:val="79CA31D5"/>
    <w:rsid w:val="79D7762B"/>
    <w:rsid w:val="7A0841AD"/>
    <w:rsid w:val="7A0A0C85"/>
    <w:rsid w:val="7A2C1770"/>
    <w:rsid w:val="7A661305"/>
    <w:rsid w:val="7A694FB2"/>
    <w:rsid w:val="7AC172D0"/>
    <w:rsid w:val="7B7F5524"/>
    <w:rsid w:val="7BC53CB4"/>
    <w:rsid w:val="7BCB5C1B"/>
    <w:rsid w:val="7BE17F36"/>
    <w:rsid w:val="7C19030F"/>
    <w:rsid w:val="7C1F414A"/>
    <w:rsid w:val="7C540596"/>
    <w:rsid w:val="7C5B65BD"/>
    <w:rsid w:val="7C8D77D9"/>
    <w:rsid w:val="7C9D4949"/>
    <w:rsid w:val="7CEB1A9D"/>
    <w:rsid w:val="7D0624F8"/>
    <w:rsid w:val="7D0D58D6"/>
    <w:rsid w:val="7D246DC4"/>
    <w:rsid w:val="7D4234A3"/>
    <w:rsid w:val="7D5E5E8D"/>
    <w:rsid w:val="7D697E0D"/>
    <w:rsid w:val="7DA557E0"/>
    <w:rsid w:val="7DE362C5"/>
    <w:rsid w:val="7DF6471C"/>
    <w:rsid w:val="7EC85E78"/>
    <w:rsid w:val="7EEA727D"/>
    <w:rsid w:val="7EEC2772"/>
    <w:rsid w:val="7F392FED"/>
    <w:rsid w:val="7F3943C0"/>
    <w:rsid w:val="7F4D784D"/>
    <w:rsid w:val="7FAD4B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8"/>
    <w:semiHidden/>
    <w:unhideWhenUsed/>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6"/>
    <w:semiHidden/>
    <w:unhideWhenUsed/>
    <w:qFormat/>
    <w:uiPriority w:val="99"/>
    <w:pPr>
      <w:snapToGrid w:val="0"/>
      <w:jc w:val="left"/>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 w:type="character" w:styleId="12">
    <w:name w:val="footnote reference"/>
    <w:basedOn w:val="9"/>
    <w:semiHidden/>
    <w:unhideWhenUsed/>
    <w:qFormat/>
    <w:uiPriority w:val="99"/>
    <w:rPr>
      <w:vertAlign w:val="superscript"/>
    </w:rPr>
  </w:style>
  <w:style w:type="character" w:customStyle="1" w:styleId="13">
    <w:name w:val="标题 1 Char"/>
    <w:basedOn w:val="9"/>
    <w:link w:val="2"/>
    <w:qFormat/>
    <w:uiPriority w:val="9"/>
    <w:rPr>
      <w:rFonts w:ascii="宋体" w:hAnsi="宋体" w:eastAsia="宋体" w:cs="宋体"/>
      <w:b/>
      <w:bCs/>
      <w:kern w:val="36"/>
      <w:sz w:val="48"/>
      <w:szCs w:val="48"/>
    </w:rPr>
  </w:style>
  <w:style w:type="character" w:customStyle="1" w:styleId="14">
    <w:name w:val="页眉 Char"/>
    <w:basedOn w:val="9"/>
    <w:link w:val="5"/>
    <w:semiHidden/>
    <w:qFormat/>
    <w:uiPriority w:val="99"/>
    <w:rPr>
      <w:sz w:val="18"/>
      <w:szCs w:val="18"/>
    </w:rPr>
  </w:style>
  <w:style w:type="character" w:customStyle="1" w:styleId="15">
    <w:name w:val="页脚 Char"/>
    <w:basedOn w:val="9"/>
    <w:link w:val="4"/>
    <w:qFormat/>
    <w:uiPriority w:val="99"/>
    <w:rPr>
      <w:sz w:val="18"/>
      <w:szCs w:val="18"/>
    </w:rPr>
  </w:style>
  <w:style w:type="character" w:customStyle="1" w:styleId="16">
    <w:name w:val="脚注文本 Char"/>
    <w:basedOn w:val="9"/>
    <w:link w:val="6"/>
    <w:semiHidden/>
    <w:qFormat/>
    <w:uiPriority w:val="99"/>
    <w:rPr>
      <w:sz w:val="18"/>
    </w:rPr>
  </w:style>
  <w:style w:type="paragraph" w:styleId="17">
    <w:name w:val="List Paragraph"/>
    <w:basedOn w:val="1"/>
    <w:qFormat/>
    <w:uiPriority w:val="34"/>
    <w:pPr>
      <w:ind w:firstLine="420" w:firstLineChars="200"/>
    </w:pPr>
    <w:rPr>
      <w:rFonts w:cs="Times New Roman"/>
    </w:rPr>
  </w:style>
  <w:style w:type="character" w:customStyle="1" w:styleId="18">
    <w:name w:val="批注框文本 Char"/>
    <w:basedOn w:val="9"/>
    <w:link w:val="3"/>
    <w:semiHidden/>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43CB2E-6B39-49B9-938D-8AF84143D1A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1094</Words>
  <Characters>6240</Characters>
  <Lines>52</Lines>
  <Paragraphs>14</Paragraphs>
  <TotalTime>166</TotalTime>
  <ScaleCrop>false</ScaleCrop>
  <LinksUpToDate>false</LinksUpToDate>
  <CharactersWithSpaces>7320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2020-03-12T02:26:00Z</dcterms:created>
  <dc:creator>l</dc:creator>
  <cp:lastModifiedBy>SXXYJJ-0888</cp:lastModifiedBy>
  <cp:lastPrinted>2020-06-05T01:18:00Z</cp:lastPrinted>
  <dcterms:modified xsi:type="dcterms:W3CDTF">2021-06-09T08:27:30Z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70D3657CF1B5454EA1D96FEF8B076FD6</vt:lpwstr>
  </property>
</Properties>
</file>