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widowControl w:val="0"/>
        <w:spacing w:line="580" w:lineRule="exact"/>
        <w:rPr>
          <w:rFonts w:hint="eastAsia" w:ascii="仿宋_GB2312" w:hAnsi="宋体" w:eastAsia="仿宋_GB2312"/>
          <w:bCs/>
          <w:color w:val="000000"/>
          <w:sz w:val="32"/>
          <w:szCs w:val="32"/>
          <w:lang w:eastAsia="zh-CN"/>
        </w:rPr>
      </w:pPr>
      <w:r>
        <w:rPr>
          <w:rFonts w:hint="eastAsia" w:ascii="仿宋_GB2312" w:hAnsi="宋体" w:eastAsia="仿宋_GB2312"/>
          <w:bCs/>
          <w:color w:val="000000"/>
          <w:sz w:val="32"/>
          <w:szCs w:val="32"/>
          <w:lang w:eastAsia="zh-CN"/>
        </w:rPr>
        <w:t>附件</w:t>
      </w:r>
      <w:bookmarkStart w:id="0" w:name="_GoBack"/>
      <w:bookmarkEnd w:id="0"/>
    </w:p>
    <w:p>
      <w:pPr>
        <w:pStyle w:val="11"/>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 w:val="0"/>
          <w:bCs/>
          <w:color w:val="000000"/>
          <w:sz w:val="44"/>
          <w:szCs w:val="44"/>
          <w:lang w:eastAsia="zh-CN"/>
        </w:rPr>
        <w:t>遂溪县</w:t>
      </w:r>
      <w:r>
        <w:rPr>
          <w:rFonts w:hint="eastAsia" w:ascii="方正小标宋简体" w:hAnsi="方正小标宋简体" w:eastAsia="方正小标宋简体" w:cs="方正小标宋简体"/>
          <w:b w:val="0"/>
          <w:bCs/>
          <w:color w:val="000000"/>
          <w:sz w:val="44"/>
          <w:szCs w:val="44"/>
        </w:rPr>
        <w:t>县级重点农业龙头企业申报</w:t>
      </w:r>
    </w:p>
    <w:p>
      <w:pPr>
        <w:pStyle w:val="11"/>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000000"/>
          <w:sz w:val="44"/>
          <w:szCs w:val="44"/>
        </w:rPr>
      </w:pPr>
      <w:r>
        <w:rPr>
          <w:rFonts w:hint="eastAsia" w:ascii="方正小标宋简体" w:hAnsi="方正小标宋简体" w:eastAsia="方正小标宋简体" w:cs="方正小标宋简体"/>
          <w:b w:val="0"/>
          <w:bCs/>
          <w:color w:val="000000"/>
          <w:sz w:val="44"/>
          <w:szCs w:val="44"/>
        </w:rPr>
        <w:t>认定办法</w:t>
      </w:r>
    </w:p>
    <w:p>
      <w:pPr>
        <w:pStyle w:val="11"/>
        <w:widowControl w:val="0"/>
        <w:spacing w:line="560" w:lineRule="exact"/>
        <w:jc w:val="center"/>
        <w:rPr>
          <w:rFonts w:hint="eastAsia" w:ascii="楷体_GB2312" w:hAnsi="楷体_GB2312" w:eastAsia="楷体_GB2312" w:cs="楷体_GB2312"/>
          <w:b w:val="0"/>
          <w:bCs/>
          <w:color w:val="000000"/>
          <w:sz w:val="32"/>
          <w:szCs w:val="32"/>
        </w:rPr>
      </w:pPr>
      <w:r>
        <w:rPr>
          <w:rFonts w:hint="eastAsia" w:ascii="楷体_GB2312" w:hAnsi="楷体_GB2312" w:eastAsia="楷体_GB2312" w:cs="楷体_GB2312"/>
          <w:b w:val="0"/>
          <w:bCs/>
          <w:color w:val="000000"/>
          <w:sz w:val="32"/>
          <w:szCs w:val="32"/>
        </w:rPr>
        <w:t>（试行）</w:t>
      </w:r>
    </w:p>
    <w:p>
      <w:pPr>
        <w:pStyle w:val="11"/>
        <w:widowControl w:val="0"/>
        <w:spacing w:line="560" w:lineRule="exact"/>
        <w:rPr>
          <w:b/>
          <w:sz w:val="32"/>
          <w:szCs w:val="32"/>
        </w:rPr>
      </w:pPr>
    </w:p>
    <w:p>
      <w:pPr>
        <w:pStyle w:val="11"/>
        <w:keepNext w:val="0"/>
        <w:keepLines w:val="0"/>
        <w:pageBreakBefore w:val="0"/>
        <w:widowControl w:val="0"/>
        <w:kinsoku/>
        <w:wordWrap/>
        <w:overflowPunct/>
        <w:topLinePunct w:val="0"/>
        <w:autoSpaceDE/>
        <w:bidi w:val="0"/>
        <w:adjustRightInd/>
        <w:snapToGrid w:val="0"/>
        <w:spacing w:line="360" w:lineRule="auto"/>
        <w:jc w:val="center"/>
        <w:textAlignment w:val="auto"/>
        <w:rPr>
          <w:rFonts w:eastAsia="黑体"/>
          <w:bCs/>
          <w:sz w:val="32"/>
          <w:szCs w:val="32"/>
        </w:rPr>
      </w:pPr>
      <w:r>
        <w:rPr>
          <w:rFonts w:hint="eastAsia" w:eastAsia="黑体"/>
          <w:bCs/>
          <w:sz w:val="32"/>
          <w:szCs w:val="32"/>
        </w:rPr>
        <w:t>第一章</w:t>
      </w:r>
      <w:r>
        <w:rPr>
          <w:rFonts w:eastAsia="黑体"/>
          <w:bCs/>
          <w:sz w:val="32"/>
          <w:szCs w:val="32"/>
        </w:rPr>
        <w:t xml:space="preserve">  </w:t>
      </w:r>
      <w:r>
        <w:rPr>
          <w:rFonts w:hint="eastAsia" w:eastAsia="黑体"/>
          <w:bCs/>
          <w:sz w:val="32"/>
          <w:szCs w:val="32"/>
        </w:rPr>
        <w:t>总</w:t>
      </w:r>
      <w:r>
        <w:rPr>
          <w:rFonts w:eastAsia="黑体"/>
          <w:sz w:val="32"/>
          <w:szCs w:val="32"/>
        </w:rPr>
        <w:t xml:space="preserve">  </w:t>
      </w:r>
      <w:r>
        <w:rPr>
          <w:rFonts w:hint="eastAsia" w:eastAsia="黑体"/>
          <w:bCs/>
          <w:sz w:val="32"/>
          <w:szCs w:val="32"/>
        </w:rPr>
        <w:t>则</w:t>
      </w:r>
    </w:p>
    <w:p>
      <w:pPr>
        <w:pStyle w:val="11"/>
        <w:keepNext w:val="0"/>
        <w:keepLines w:val="0"/>
        <w:pageBreakBefore w:val="0"/>
        <w:widowControl w:val="0"/>
        <w:kinsoku/>
        <w:wordWrap/>
        <w:overflowPunct/>
        <w:topLinePunct w:val="0"/>
        <w:autoSpaceDE/>
        <w:bidi w:val="0"/>
        <w:adjustRightInd/>
        <w:snapToGrid w:val="0"/>
        <w:spacing w:line="360" w:lineRule="auto"/>
        <w:ind w:firstLine="643" w:firstLineChars="200"/>
        <w:textAlignment w:val="auto"/>
        <w:rPr>
          <w:rFonts w:eastAsia="仿宋_GB2312"/>
          <w:b/>
          <w:sz w:val="32"/>
          <w:szCs w:val="32"/>
        </w:rPr>
      </w:pP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eastAsia="仿宋_GB2312"/>
          <w:color w:val="000000"/>
          <w:sz w:val="32"/>
          <w:szCs w:val="32"/>
        </w:rPr>
      </w:pPr>
      <w:r>
        <w:rPr>
          <w:rFonts w:hint="eastAsia" w:eastAsia="楷体_GB2312"/>
          <w:sz w:val="32"/>
          <w:szCs w:val="32"/>
        </w:rPr>
        <w:t>第一条</w:t>
      </w:r>
      <w:r>
        <w:rPr>
          <w:rFonts w:eastAsia="仿宋_GB2312"/>
          <w:sz w:val="32"/>
          <w:szCs w:val="32"/>
        </w:rPr>
        <w:t xml:space="preserve"> </w:t>
      </w:r>
      <w:r>
        <w:rPr>
          <w:rFonts w:hint="eastAsia" w:ascii="仿宋_GB2312" w:hAnsi="仿宋_GB2312" w:eastAsia="仿宋_GB2312" w:cs="仿宋_GB2312"/>
          <w:sz w:val="32"/>
          <w:szCs w:val="32"/>
        </w:rPr>
        <w:t>为规范我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县级重点农业龙头企业的申报和认定工作，</w:t>
      </w:r>
      <w:r>
        <w:rPr>
          <w:rFonts w:hint="eastAsia" w:ascii="仿宋_GB2312" w:hAnsi="仿宋_GB2312" w:eastAsia="仿宋_GB2312" w:cs="仿宋_GB2312"/>
          <w:sz w:val="32"/>
          <w:szCs w:val="32"/>
          <w:shd w:val="clear" w:color="auto" w:fill="FFFFFF"/>
        </w:rPr>
        <w:t>根据《</w:t>
      </w:r>
      <w:r>
        <w:rPr>
          <w:rFonts w:hint="eastAsia" w:ascii="仿宋_GB2312" w:hAnsi="仿宋_GB2312" w:eastAsia="仿宋_GB2312" w:cs="仿宋_GB2312"/>
          <w:sz w:val="32"/>
          <w:szCs w:val="32"/>
        </w:rPr>
        <w:t>国务院关于支持农业产业化龙头企业发展的意见</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highlight w:val="none"/>
          <w:shd w:val="clear" w:color="auto" w:fill="FFFFFF"/>
        </w:rPr>
        <w:t>(</w:t>
      </w:r>
      <w:r>
        <w:rPr>
          <w:rFonts w:hint="eastAsia" w:ascii="仿宋_GB2312" w:hAnsi="仿宋_GB2312" w:eastAsia="仿宋_GB2312" w:cs="仿宋_GB2312"/>
          <w:sz w:val="32"/>
          <w:szCs w:val="32"/>
        </w:rPr>
        <w:t>国发〔2012〕10号</w:t>
      </w:r>
      <w:r>
        <w:rPr>
          <w:rFonts w:hint="eastAsia" w:ascii="仿宋_GB2312" w:hAnsi="仿宋_GB2312" w:eastAsia="仿宋_GB2312" w:cs="仿宋_GB2312"/>
          <w:sz w:val="32"/>
          <w:szCs w:val="32"/>
          <w:highlight w:val="none"/>
          <w:shd w:val="clear" w:color="auto" w:fill="FFFFFF"/>
        </w:rPr>
        <w:t>)</w:t>
      </w:r>
      <w:r>
        <w:rPr>
          <w:rFonts w:hint="eastAsia" w:ascii="仿宋_GB2312" w:hAnsi="仿宋_GB2312" w:eastAsia="仿宋_GB2312" w:cs="仿宋_GB2312"/>
          <w:sz w:val="32"/>
          <w:szCs w:val="32"/>
          <w:shd w:val="clear" w:color="auto" w:fill="FFFFFF"/>
        </w:rPr>
        <w:t>、《广东省人民政府关于支持农业产业化龙头企业发展的实施意见》（粤府〔2012〕130号），参照</w:t>
      </w:r>
      <w:r>
        <w:rPr>
          <w:rFonts w:hint="eastAsia" w:ascii="仿宋_GB2312" w:hAnsi="仿宋_GB2312" w:eastAsia="仿宋_GB2312" w:cs="仿宋_GB2312"/>
          <w:sz w:val="32"/>
          <w:szCs w:val="32"/>
        </w:rPr>
        <w:t>《湛江市重点农业龙头企业申报认定与监测管理办法》（</w:t>
      </w:r>
      <w:r>
        <w:rPr>
          <w:rFonts w:hint="eastAsia" w:ascii="仿宋_GB2312" w:hAnsi="仿宋_GB2312" w:eastAsia="仿宋_GB2312" w:cs="仿宋_GB2312"/>
          <w:color w:val="000000"/>
          <w:sz w:val="32"/>
          <w:szCs w:val="32"/>
        </w:rPr>
        <w:t>湛农通〔2016〕187号</w:t>
      </w:r>
      <w:r>
        <w:rPr>
          <w:rFonts w:hint="eastAsia" w:ascii="仿宋_GB2312" w:hAnsi="仿宋_GB2312" w:eastAsia="仿宋_GB2312" w:cs="仿宋_GB2312"/>
          <w:sz w:val="32"/>
          <w:szCs w:val="32"/>
        </w:rPr>
        <w:t>）,结合我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实际，制定本办法。</w:t>
      </w: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r>
        <w:rPr>
          <w:rFonts w:hint="eastAsia" w:eastAsia="楷体_GB2312"/>
          <w:sz w:val="32"/>
          <w:szCs w:val="32"/>
        </w:rPr>
        <w:t>第二条</w:t>
      </w:r>
      <w:r>
        <w:rPr>
          <w:rFonts w:eastAsia="仿宋_GB2312"/>
          <w:sz w:val="32"/>
          <w:szCs w:val="32"/>
        </w:rPr>
        <w:t xml:space="preserve"> </w:t>
      </w:r>
      <w:r>
        <w:rPr>
          <w:rFonts w:hint="eastAsia" w:ascii="仿宋_GB2312" w:hAnsi="仿宋_GB2312" w:eastAsia="仿宋_GB2312" w:cs="仿宋_GB2312"/>
          <w:sz w:val="32"/>
          <w:szCs w:val="32"/>
        </w:rPr>
        <w:t>本办法所指</w:t>
      </w:r>
      <w:r>
        <w:rPr>
          <w:rFonts w:hint="eastAsia" w:ascii="仿宋_GB2312" w:hAnsi="仿宋_GB2312" w:eastAsia="仿宋_GB2312" w:cs="仿宋_GB2312"/>
          <w:sz w:val="32"/>
          <w:szCs w:val="32"/>
          <w:lang w:eastAsia="zh-CN"/>
        </w:rPr>
        <w:t>遂溪县</w:t>
      </w:r>
      <w:r>
        <w:rPr>
          <w:rFonts w:hint="eastAsia" w:ascii="仿宋_GB2312" w:hAnsi="仿宋_GB2312" w:eastAsia="仿宋_GB2312" w:cs="仿宋_GB2312"/>
          <w:sz w:val="32"/>
          <w:szCs w:val="32"/>
        </w:rPr>
        <w:t>县级重点农业龙头企业，是指在我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行政区域内以农产品生产、加工、流通和农业科技推广类企业为主业，通过各种利益联结机制带动农户，在经营规模、企业效益和辐射带动农户能力等方面达到规定标准，守法经营，财务管理规范，经</w:t>
      </w:r>
      <w:r>
        <w:rPr>
          <w:rFonts w:hint="eastAsia" w:ascii="仿宋_GB2312" w:hAnsi="仿宋_GB2312" w:eastAsia="仿宋_GB2312" w:cs="仿宋_GB2312"/>
          <w:sz w:val="32"/>
          <w:szCs w:val="32"/>
          <w:lang w:eastAsia="zh-CN"/>
        </w:rPr>
        <w:t>遂溪县</w:t>
      </w:r>
      <w:r>
        <w:rPr>
          <w:rFonts w:hint="eastAsia" w:ascii="仿宋_GB2312" w:hAnsi="仿宋_GB2312" w:eastAsia="仿宋_GB2312" w:cs="仿宋_GB2312"/>
          <w:sz w:val="32"/>
          <w:szCs w:val="32"/>
        </w:rPr>
        <w:t>政府批准确认的农业企业。</w:t>
      </w: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r>
        <w:rPr>
          <w:rFonts w:hint="eastAsia" w:eastAsia="楷体_GB2312"/>
          <w:sz w:val="32"/>
          <w:szCs w:val="32"/>
        </w:rPr>
        <w:t>第三条</w:t>
      </w:r>
      <w:r>
        <w:rPr>
          <w:rFonts w:eastAsia="仿宋_GB2312"/>
          <w:sz w:val="32"/>
          <w:szCs w:val="32"/>
        </w:rPr>
        <w:t xml:space="preserve"> </w:t>
      </w:r>
      <w:r>
        <w:rPr>
          <w:rFonts w:hint="eastAsia" w:ascii="仿宋_GB2312" w:hAnsi="仿宋_GB2312" w:eastAsia="仿宋_GB2312" w:cs="仿宋_GB2312"/>
          <w:sz w:val="32"/>
          <w:szCs w:val="32"/>
        </w:rPr>
        <w:t>对县级重点农业龙头企业的认定工作遵循市场经济规律，坚持“公开、公平、公正、择优、自愿”的原则，引进竞争淘汰机制，发挥中介组织作用，不干预企业自主经营权。</w:t>
      </w: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r>
        <w:rPr>
          <w:rFonts w:hint="eastAsia" w:eastAsia="楷体_GB2312"/>
          <w:sz w:val="32"/>
          <w:szCs w:val="32"/>
        </w:rPr>
        <w:t>第四条</w:t>
      </w:r>
      <w:r>
        <w:rPr>
          <w:rFonts w:eastAsia="仿宋_GB2312"/>
          <w:sz w:val="32"/>
          <w:szCs w:val="32"/>
        </w:rPr>
        <w:t xml:space="preserve"> </w:t>
      </w:r>
      <w:r>
        <w:rPr>
          <w:rFonts w:hint="eastAsia" w:ascii="仿宋_GB2312" w:hAnsi="仿宋_GB2312" w:eastAsia="仿宋_GB2312" w:cs="仿宋_GB2312"/>
          <w:sz w:val="32"/>
          <w:szCs w:val="32"/>
        </w:rPr>
        <w:t>县级重点农业龙头企业按规定享受国家政策扶持和省、湛江市、县各级有关政策优惠。</w:t>
      </w: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p>
    <w:p>
      <w:pPr>
        <w:pStyle w:val="11"/>
        <w:keepNext w:val="0"/>
        <w:keepLines w:val="0"/>
        <w:pageBreakBefore w:val="0"/>
        <w:widowControl w:val="0"/>
        <w:kinsoku/>
        <w:wordWrap/>
        <w:overflowPunct/>
        <w:topLinePunct w:val="0"/>
        <w:autoSpaceDE/>
        <w:bidi w:val="0"/>
        <w:adjustRightInd/>
        <w:snapToGrid w:val="0"/>
        <w:spacing w:line="360" w:lineRule="auto"/>
        <w:jc w:val="center"/>
        <w:textAlignment w:val="auto"/>
        <w:rPr>
          <w:rFonts w:eastAsia="黑体"/>
          <w:bCs/>
          <w:sz w:val="32"/>
          <w:szCs w:val="32"/>
        </w:rPr>
      </w:pPr>
      <w:r>
        <w:rPr>
          <w:rFonts w:hint="eastAsia" w:eastAsia="黑体"/>
          <w:bCs/>
          <w:sz w:val="32"/>
          <w:szCs w:val="32"/>
        </w:rPr>
        <w:t>第二章</w:t>
      </w:r>
      <w:r>
        <w:rPr>
          <w:rFonts w:eastAsia="黑体"/>
          <w:bCs/>
          <w:sz w:val="32"/>
          <w:szCs w:val="32"/>
        </w:rPr>
        <w:t xml:space="preserve">  </w:t>
      </w:r>
      <w:r>
        <w:rPr>
          <w:rFonts w:hint="eastAsia" w:eastAsia="黑体"/>
          <w:bCs/>
          <w:sz w:val="32"/>
          <w:szCs w:val="32"/>
        </w:rPr>
        <w:t>认定标准</w:t>
      </w:r>
    </w:p>
    <w:p>
      <w:pPr>
        <w:pStyle w:val="11"/>
        <w:keepNext w:val="0"/>
        <w:keepLines w:val="0"/>
        <w:pageBreakBefore w:val="0"/>
        <w:widowControl w:val="0"/>
        <w:kinsoku/>
        <w:wordWrap/>
        <w:overflowPunct/>
        <w:topLinePunct w:val="0"/>
        <w:autoSpaceDE/>
        <w:bidi w:val="0"/>
        <w:adjustRightInd/>
        <w:snapToGrid w:val="0"/>
        <w:spacing w:line="360" w:lineRule="auto"/>
        <w:ind w:firstLine="643" w:firstLineChars="200"/>
        <w:textAlignment w:val="auto"/>
        <w:rPr>
          <w:rFonts w:eastAsia="仿宋_GB2312"/>
          <w:b/>
          <w:sz w:val="32"/>
          <w:szCs w:val="32"/>
        </w:rPr>
      </w:pP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r>
        <w:rPr>
          <w:rFonts w:hint="eastAsia" w:eastAsia="楷体_GB2312"/>
          <w:sz w:val="32"/>
          <w:szCs w:val="32"/>
        </w:rPr>
        <w:t>第五条</w:t>
      </w:r>
      <w:r>
        <w:rPr>
          <w:rFonts w:eastAsia="仿宋_GB2312"/>
          <w:sz w:val="32"/>
          <w:szCs w:val="32"/>
        </w:rPr>
        <w:t xml:space="preserve"> </w:t>
      </w:r>
      <w:r>
        <w:rPr>
          <w:rFonts w:hint="eastAsia" w:ascii="仿宋_GB2312" w:hAnsi="仿宋_GB2312" w:eastAsia="仿宋_GB2312" w:cs="仿宋_GB2312"/>
          <w:sz w:val="32"/>
          <w:szCs w:val="32"/>
        </w:rPr>
        <w:t>县级重点农业龙头企业的认定标准，共七大类考核指标，考核以百分制计分。</w:t>
      </w:r>
    </w:p>
    <w:p>
      <w:pPr>
        <w:pStyle w:val="11"/>
        <w:keepNext w:val="0"/>
        <w:keepLines w:val="0"/>
        <w:pageBreakBefore w:val="0"/>
        <w:widowControl w:val="0"/>
        <w:kinsoku/>
        <w:wordWrap/>
        <w:overflowPunct/>
        <w:topLinePunct w:val="0"/>
        <w:autoSpaceDE/>
        <w:bidi w:val="0"/>
        <w:adjustRightInd/>
        <w:snapToGrid w:val="0"/>
        <w:spacing w:line="360" w:lineRule="auto"/>
        <w:ind w:firstLine="643" w:firstLineChars="200"/>
        <w:textAlignment w:val="auto"/>
        <w:rPr>
          <w:rFonts w:eastAsia="仿宋_GB2312"/>
          <w:b/>
          <w:bCs/>
          <w:sz w:val="32"/>
          <w:szCs w:val="32"/>
        </w:rPr>
      </w:pPr>
      <w:r>
        <w:rPr>
          <w:rFonts w:hint="eastAsia" w:eastAsia="仿宋_GB2312"/>
          <w:b/>
          <w:bCs/>
          <w:sz w:val="32"/>
          <w:szCs w:val="32"/>
        </w:rPr>
        <w:t>（一）企业类型</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eastAsia="仿宋_GB2312"/>
          <w:sz w:val="32"/>
          <w:szCs w:val="32"/>
        </w:rPr>
        <w:t xml:space="preserve"> </w:t>
      </w:r>
      <w:r>
        <w:rPr>
          <w:rFonts w:hint="eastAsia" w:ascii="仿宋_GB2312" w:hAnsi="仿宋_GB2312" w:eastAsia="仿宋_GB2312" w:cs="仿宋_GB2312"/>
          <w:sz w:val="32"/>
          <w:szCs w:val="32"/>
        </w:rPr>
        <w:t>依法设立的具有独立法人资格的农产品生产、加工、流通或农业科技推广类企业，包括国有、集体、私营、中外合资、中外合作、外商独资企业及农产品专业（综合）批发市场等。</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县级重点农业龙头企业经营农产品营业额必须占企业经营总额的70%以上。</w:t>
      </w:r>
    </w:p>
    <w:p>
      <w:pPr>
        <w:pStyle w:val="11"/>
        <w:keepNext w:val="0"/>
        <w:keepLines w:val="0"/>
        <w:pageBreakBefore w:val="0"/>
        <w:widowControl w:val="0"/>
        <w:kinsoku/>
        <w:wordWrap/>
        <w:overflowPunct/>
        <w:topLinePunct w:val="0"/>
        <w:autoSpaceDE/>
        <w:bidi w:val="0"/>
        <w:adjustRightInd/>
        <w:snapToGrid w:val="0"/>
        <w:spacing w:line="360" w:lineRule="auto"/>
        <w:ind w:firstLine="643" w:firstLineChars="200"/>
        <w:textAlignment w:val="auto"/>
        <w:rPr>
          <w:rFonts w:eastAsia="仿宋_GB2312"/>
          <w:b/>
          <w:sz w:val="32"/>
          <w:szCs w:val="32"/>
        </w:rPr>
      </w:pPr>
      <w:r>
        <w:rPr>
          <w:rFonts w:hint="eastAsia" w:ascii="仿宋_GB2312" w:hAnsi="仿宋_GB2312" w:eastAsia="仿宋_GB2312" w:cs="仿宋_GB2312"/>
          <w:b/>
          <w:bCs/>
          <w:sz w:val="32"/>
          <w:szCs w:val="32"/>
        </w:rPr>
        <w:t>（二）企业规模（以具有国家认可资质的中介机构审核数据为准，25分）</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农业龙头企业分别按农产品生产型龙头企业，农产品加工、流通型龙头企业，农产品市场带动型龙头企业以及农业科技推广类龙头企业等四种类型企业，根据注册资本、资产总值、固定资产、年销售收入等四项指标进行考核。</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1、农产品生产型：</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（1）年销售收入：达到500万元的计20分，达不到的计0分，超过500万元的，每超过200万元增计1分，最高增计5分。</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（2）注册资本（金）：100万元以上（含100万元），达不到的不得评为县级重点农业龙头企业。</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（3）资产总值和固定资产：资产总值在200万元以上，其中固定资产在100万元以上（含100万元），两项达不到的不得评为县级重点农业龙头企业。</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2、农产品加工、流通型：</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（1）年销售收入：达到1000万元的计20分，达不到的计0分，超过1000万元的，每超过500万元增计1分，最高增计5分。</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（2）注册资本（金）：100万元以上（含100万元），达不到的不得评为县级重点农业龙头企业。</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（3）资产总值和固定资产：资产总值在500万元以上，其中固定资产在100万元以上（含100万元），两项达不到的不得评为县级重点农业龙头企业。</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3、农产品市场带动型</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（1）年交易（经销）额：1亿元的计20分，达不到的计0分，超过1亿元的，每超过5000万元增计1分，最高增计5分。</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（2）注册资本（金）：200万元以上（含200万元），达不到的不得评为县级重点农业龙头企业。</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（3）资产总值和固定资产：资产总值在2000万元以上（含2000万元），其中固定资产在1000万元以上（含1000万元），两项达不到的不得评为县级重点农业龙头企业。</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4、农业科技推广类企业</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鉴于该类企业的特殊性，</w:t>
      </w:r>
      <w:r>
        <w:rPr>
          <w:rFonts w:hint="eastAsia" w:ascii="仿宋_GB2312" w:hAnsi="仿宋_GB2312" w:eastAsia="仿宋_GB2312" w:cs="仿宋_GB2312"/>
          <w:sz w:val="32"/>
          <w:szCs w:val="32"/>
          <w:highlight w:val="none"/>
        </w:rPr>
        <w:t>不作</w:t>
      </w:r>
      <w:r>
        <w:rPr>
          <w:rFonts w:hint="eastAsia" w:ascii="仿宋_GB2312" w:hAnsi="仿宋_GB2312" w:eastAsia="仿宋_GB2312" w:cs="仿宋_GB2312"/>
          <w:sz w:val="32"/>
          <w:szCs w:val="32"/>
        </w:rPr>
        <w:t>规模上的具体限定。对其考核与认定由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派出的考核组按照有关规定进行考核，考核结果经</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主管部门审定后报</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政府确认。</w:t>
      </w:r>
    </w:p>
    <w:p>
      <w:pPr>
        <w:pStyle w:val="11"/>
        <w:keepNext w:val="0"/>
        <w:keepLines w:val="0"/>
        <w:pageBreakBefore w:val="0"/>
        <w:widowControl w:val="0"/>
        <w:kinsoku/>
        <w:wordWrap/>
        <w:overflowPunct/>
        <w:topLinePunct w:val="0"/>
        <w:autoSpaceDE/>
        <w:bidi w:val="0"/>
        <w:adjustRightInd/>
        <w:snapToGrid w:val="0"/>
        <w:spacing w:line="360" w:lineRule="auto"/>
        <w:ind w:firstLine="643" w:firstLineChars="200"/>
        <w:textAlignment w:val="auto"/>
        <w:rPr>
          <w:rFonts w:eastAsia="仿宋_GB2312"/>
          <w:b/>
          <w:bCs/>
          <w:sz w:val="32"/>
          <w:szCs w:val="32"/>
        </w:rPr>
      </w:pPr>
      <w:r>
        <w:rPr>
          <w:rFonts w:hint="eastAsia" w:ascii="仿宋_GB2312" w:hAnsi="仿宋_GB2312" w:eastAsia="仿宋_GB2312" w:cs="仿宋_GB2312"/>
          <w:b/>
          <w:bCs/>
          <w:sz w:val="32"/>
          <w:szCs w:val="32"/>
        </w:rPr>
        <w:t>（三）企业信用（以相关部门证明</w:t>
      </w:r>
      <w:r>
        <w:rPr>
          <w:rFonts w:hint="eastAsia" w:ascii="仿宋_GB2312" w:hAnsi="仿宋_GB2312" w:eastAsia="仿宋_GB2312" w:cs="仿宋_GB2312"/>
          <w:b/>
          <w:bCs/>
          <w:sz w:val="32"/>
          <w:szCs w:val="32"/>
          <w:lang w:eastAsia="zh-CN"/>
        </w:rPr>
        <w:t>为</w:t>
      </w:r>
      <w:r>
        <w:rPr>
          <w:rFonts w:hint="eastAsia" w:ascii="仿宋_GB2312" w:hAnsi="仿宋_GB2312" w:eastAsia="仿宋_GB2312" w:cs="仿宋_GB2312"/>
          <w:b/>
          <w:bCs/>
          <w:sz w:val="32"/>
          <w:szCs w:val="32"/>
        </w:rPr>
        <w:t>准，15分）</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1、企业审核年度参照国家税务总局《纳税信用等级评定管理试行办法》（国税〔2003〕92号），没有税收违法记录，符合A级纳税人条件的计5分；符</w:t>
      </w:r>
      <w:r>
        <w:rPr>
          <w:rFonts w:hint="eastAsia" w:ascii="仿宋_GB2312" w:hAnsi="仿宋_GB2312" w:eastAsia="仿宋_GB2312" w:cs="仿宋_GB2312"/>
          <w:sz w:val="32"/>
          <w:szCs w:val="32"/>
          <w:lang w:eastAsia="zh-CN"/>
        </w:rPr>
        <w:t>合</w:t>
      </w:r>
      <w:r>
        <w:rPr>
          <w:rFonts w:hint="eastAsia" w:ascii="仿宋_GB2312" w:hAnsi="仿宋_GB2312" w:eastAsia="仿宋_GB2312" w:cs="仿宋_GB2312"/>
          <w:sz w:val="32"/>
          <w:szCs w:val="32"/>
        </w:rPr>
        <w:t>B级纳税人条件的计3分；符</w:t>
      </w:r>
      <w:r>
        <w:rPr>
          <w:rFonts w:hint="eastAsia" w:ascii="仿宋_GB2312" w:hAnsi="仿宋_GB2312" w:eastAsia="仿宋_GB2312" w:cs="仿宋_GB2312"/>
          <w:sz w:val="32"/>
          <w:szCs w:val="32"/>
          <w:lang w:eastAsia="zh-CN"/>
        </w:rPr>
        <w:t>合</w:t>
      </w:r>
      <w:r>
        <w:rPr>
          <w:rFonts w:hint="eastAsia" w:ascii="仿宋_GB2312" w:hAnsi="仿宋_GB2312" w:eastAsia="仿宋_GB2312" w:cs="仿宋_GB2312"/>
          <w:sz w:val="32"/>
          <w:szCs w:val="32"/>
        </w:rPr>
        <w:t>C级纳税人条件的计2分；符</w:t>
      </w:r>
      <w:r>
        <w:rPr>
          <w:rFonts w:hint="eastAsia" w:ascii="仿宋_GB2312" w:hAnsi="仿宋_GB2312" w:eastAsia="仿宋_GB2312" w:cs="仿宋_GB2312"/>
          <w:sz w:val="32"/>
          <w:szCs w:val="32"/>
          <w:lang w:eastAsia="zh-CN"/>
        </w:rPr>
        <w:t>合</w:t>
      </w:r>
      <w:r>
        <w:rPr>
          <w:rFonts w:hint="eastAsia" w:ascii="仿宋_GB2312" w:hAnsi="仿宋_GB2312" w:eastAsia="仿宋_GB2312" w:cs="仿宋_GB2312"/>
          <w:sz w:val="32"/>
          <w:szCs w:val="32"/>
        </w:rPr>
        <w:t>D级纳税人条件的计0分。</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2、未发现企业拖、欠职工工资的记5分，不达标的记0分。</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3、企业银行信用等级达到A级（含A级）的计5分，A级以下的计0分。企业因没有发生贷款而没有银行信用评级，且在金融部门没有不良记录的视同银行信用等级达到A级。</w:t>
      </w:r>
    </w:p>
    <w:p>
      <w:pPr>
        <w:pStyle w:val="11"/>
        <w:keepNext w:val="0"/>
        <w:keepLines w:val="0"/>
        <w:pageBreakBefore w:val="0"/>
        <w:widowControl w:val="0"/>
        <w:kinsoku/>
        <w:wordWrap/>
        <w:overflowPunct/>
        <w:topLinePunct w:val="0"/>
        <w:autoSpaceDE/>
        <w:bidi w:val="0"/>
        <w:adjustRightInd/>
        <w:snapToGrid w:val="0"/>
        <w:spacing w:line="360" w:lineRule="auto"/>
        <w:ind w:firstLine="643" w:firstLineChars="200"/>
        <w:textAlignment w:val="auto"/>
        <w:rPr>
          <w:rFonts w:hint="eastAsia" w:eastAsia="仿宋_GB2312"/>
          <w:b/>
          <w:bCs/>
          <w:sz w:val="32"/>
          <w:szCs w:val="32"/>
        </w:rPr>
      </w:pPr>
      <w:r>
        <w:rPr>
          <w:rFonts w:hint="eastAsia" w:ascii="仿宋_GB2312" w:hAnsi="仿宋_GB2312" w:eastAsia="仿宋_GB2312" w:cs="仿宋_GB2312"/>
          <w:b/>
          <w:bCs/>
          <w:sz w:val="32"/>
          <w:szCs w:val="32"/>
        </w:rPr>
        <w:t>（四）企业资产负债率（</w:t>
      </w:r>
      <w:r>
        <w:rPr>
          <w:rFonts w:hint="eastAsia" w:ascii="仿宋_GB2312" w:hAnsi="仿宋_GB2312" w:eastAsia="仿宋_GB2312" w:cs="仿宋_GB2312"/>
          <w:b/>
          <w:bCs/>
          <w:sz w:val="32"/>
          <w:szCs w:val="32"/>
          <w:highlight w:val="none"/>
        </w:rPr>
        <w:t>以具备</w:t>
      </w:r>
      <w:r>
        <w:rPr>
          <w:rFonts w:hint="eastAsia" w:ascii="仿宋_GB2312" w:hAnsi="仿宋_GB2312" w:eastAsia="仿宋_GB2312" w:cs="仿宋_GB2312"/>
          <w:b/>
          <w:bCs/>
          <w:sz w:val="32"/>
          <w:szCs w:val="32"/>
        </w:rPr>
        <w:t>国家认可资质的中介机构审核数据为准，5分）</w:t>
      </w: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b/>
          <w:bCs/>
          <w:sz w:val="32"/>
          <w:szCs w:val="32"/>
        </w:rPr>
      </w:pPr>
      <w:r>
        <w:rPr>
          <w:rFonts w:hint="eastAsia" w:ascii="仿宋_GB2312" w:hAnsi="仿宋_GB2312" w:eastAsia="仿宋_GB2312" w:cs="仿宋_GB2312"/>
          <w:sz w:val="32"/>
          <w:szCs w:val="32"/>
        </w:rPr>
        <w:t>企业资产负债率在70%以下（含70%）的计5分，高于70%的计0分。</w:t>
      </w:r>
    </w:p>
    <w:p>
      <w:pPr>
        <w:pStyle w:val="11"/>
        <w:keepNext w:val="0"/>
        <w:keepLines w:val="0"/>
        <w:pageBreakBefore w:val="0"/>
        <w:widowControl w:val="0"/>
        <w:kinsoku/>
        <w:wordWrap/>
        <w:overflowPunct/>
        <w:topLinePunct w:val="0"/>
        <w:autoSpaceDE/>
        <w:bidi w:val="0"/>
        <w:adjustRightInd/>
        <w:snapToGrid w:val="0"/>
        <w:spacing w:line="36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（五）企业带动农户能力（以企业与农民合作经济组织、专业大户、农村经纪人、农户或村集体经济组织签订经济合同、契约或“订单农业”方式为准，</w:t>
      </w:r>
      <w:r>
        <w:rPr>
          <w:rFonts w:hint="eastAsia" w:ascii="仿宋_GB2312" w:hAnsi="仿宋_GB2312" w:eastAsia="仿宋_GB2312" w:cs="仿宋_GB2312"/>
          <w:b/>
          <w:bCs/>
          <w:sz w:val="32"/>
          <w:szCs w:val="32"/>
          <w:lang w:val="en-US" w:eastAsia="zh-CN"/>
        </w:rPr>
        <w:t>35分</w:t>
      </w:r>
      <w:r>
        <w:rPr>
          <w:rFonts w:hint="eastAsia" w:ascii="仿宋_GB2312" w:hAnsi="仿宋_GB2312" w:eastAsia="仿宋_GB2312" w:cs="仿宋_GB2312"/>
          <w:b/>
          <w:bCs/>
          <w:sz w:val="32"/>
          <w:szCs w:val="32"/>
        </w:rPr>
        <w:t>）</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通过与农民合作经济组织、专业大户、农村经纪人、农户或村集体经济组织签订经济合同，或以委托生产、订单农业、入股分红和利润返还等形式，明确企业与农户各自的权利、义务和违约责任。建立可靠、稳定的利益联结机制带动农户。</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1、企业带动本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农户200户的计15分，达不到的计0分，每增加50户增计1分，最高增计5分；单纯带动养殖业（含畜、禽、渔及珍稀动物养殖）农户的企业，带动本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养殖业（含畜禽渔及珍稀动物养殖）农户100户的计15分，达不到的计0分，每增加50户增计1分，最高增计5分。</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r>
        <w:rPr>
          <w:rFonts w:hint="eastAsia" w:ascii="仿宋_GB2312" w:hAnsi="仿宋_GB2312" w:eastAsia="仿宋_GB2312" w:cs="仿宋_GB2312"/>
          <w:sz w:val="32"/>
          <w:szCs w:val="32"/>
        </w:rPr>
        <w:t>2、企业所带动的农户从产业化经营中户均年增加纯收入1000元的计10分，达不到的计0分，户均年增加纯收入超过1000元的，每增加500元增计1分，最高增计5分。</w:t>
      </w:r>
    </w:p>
    <w:p>
      <w:pPr>
        <w:pStyle w:val="11"/>
        <w:keepNext w:val="0"/>
        <w:keepLines w:val="0"/>
        <w:pageBreakBefore w:val="0"/>
        <w:widowControl w:val="0"/>
        <w:kinsoku/>
        <w:wordWrap/>
        <w:overflowPunct/>
        <w:topLinePunct w:val="0"/>
        <w:autoSpaceDE/>
        <w:bidi w:val="0"/>
        <w:adjustRightInd/>
        <w:snapToGrid w:val="0"/>
        <w:spacing w:line="360" w:lineRule="auto"/>
        <w:ind w:firstLine="643" w:firstLineChars="200"/>
        <w:textAlignment w:val="auto"/>
        <w:rPr>
          <w:rFonts w:eastAsia="仿宋_GB2312"/>
          <w:b/>
          <w:bCs/>
          <w:sz w:val="32"/>
          <w:szCs w:val="32"/>
        </w:rPr>
      </w:pPr>
      <w:r>
        <w:rPr>
          <w:rFonts w:hint="eastAsia" w:ascii="仿宋_GB2312" w:hAnsi="仿宋_GB2312" w:eastAsia="仿宋_GB2312" w:cs="仿宋_GB2312"/>
          <w:b/>
          <w:bCs/>
          <w:sz w:val="32"/>
          <w:szCs w:val="32"/>
        </w:rPr>
        <w:t>（六）企业生产基地</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以企业依法取得的土地使用凭证,或与有关单位、农民集体、个人依法签订设施</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或用地</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使用合同、协议为准，10分</w:t>
      </w:r>
      <w:r>
        <w:rPr>
          <w:rFonts w:hint="eastAsia" w:ascii="仿宋_GB2312" w:hAnsi="仿宋_GB2312" w:eastAsia="仿宋_GB2312" w:cs="仿宋_GB2312"/>
          <w:b/>
          <w:bCs/>
          <w:sz w:val="32"/>
          <w:szCs w:val="32"/>
          <w:lang w:eastAsia="zh-CN"/>
        </w:rPr>
        <w:t>）</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1、种植企业：粮油作物面积500亩以上，或蔬菜面积100亩以上，或水果面积300亩以上，或茶叶面积100亩以上，或花卉面积100亩以上，或糖蔗面积500亩以上，或其他种植面积100亩以上。</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2、畜禽养殖企业：肉禽年出栏量10万只以上，或蛋禽存栏量5万只以上，或生猪出栏量2000头以上，或牛年出栏量200头以上，或羊年出栏500只以上。</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3、水产养殖企业：池塘养殖面积200亩或网箱养殖1000立方米以上，或年产量100吨以上。</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4、木材加工利用企业：造林面积在1000亩以上。</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5、海洋捕捞企业:生产渔船5艘或年产量200吨以上。</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6、农产品加工企业：有符合国家环保标准、食品加工卫生标准的加工基地或生产设施。</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7、农产品专业市场或贸易型企业：有符合国家环保标准的交易场地或农产品运输、贮藏设施。</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8、其他企业，须出具与其生产规模相当的生产基地证明。</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上述第一至第五类企业中，不符合规定标准的不得评为县级重点农业龙头企业；第6至第8类企业中，符合规定标准的计10分，低于规定标准的扣2分。</w:t>
      </w:r>
    </w:p>
    <w:p>
      <w:pPr>
        <w:pStyle w:val="11"/>
        <w:keepNext w:val="0"/>
        <w:keepLines w:val="0"/>
        <w:pageBreakBefore w:val="0"/>
        <w:widowControl w:val="0"/>
        <w:kinsoku/>
        <w:wordWrap/>
        <w:overflowPunct/>
        <w:topLinePunct w:val="0"/>
        <w:autoSpaceDE/>
        <w:bidi w:val="0"/>
        <w:adjustRightInd/>
        <w:snapToGrid w:val="0"/>
        <w:spacing w:line="360" w:lineRule="auto"/>
        <w:ind w:firstLine="643" w:firstLineChars="200"/>
        <w:textAlignment w:val="auto"/>
        <w:rPr>
          <w:rFonts w:eastAsia="仿宋_GB2312"/>
          <w:b/>
          <w:bCs/>
          <w:sz w:val="32"/>
          <w:szCs w:val="32"/>
        </w:rPr>
      </w:pPr>
      <w:r>
        <w:rPr>
          <w:rFonts w:hint="eastAsia" w:ascii="仿宋_GB2312" w:hAnsi="仿宋_GB2312" w:eastAsia="仿宋_GB2312" w:cs="仿宋_GB2312"/>
          <w:b/>
          <w:bCs/>
          <w:sz w:val="32"/>
          <w:szCs w:val="32"/>
        </w:rPr>
        <w:t>（七）企业产品竞争力（以企业提供的证明材料为准，10分，提供证明材料的企业优先考虑）</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1、农产品原产地证明、无公害证书、绿色食品证书、有机食品证书，有其中一项的记2分，没有的记0分。 </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2、省著名商标证书、国家驰名商标证明文件，有其中一项的记2分，没有的记0分。</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3、有企业管理制度（必须含“安全生产制度”）、财务会计制度、账册管理制度和配有专业会计人员的记2分，没有的记0分。 </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4、省名牌产品、中国名牌产品证书，有其中一项的记2分，没有的记0分。 </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5、企业质量管理体系认证、环保达标评定证明、职业安全与卫生管理体系认证等，有其中一项的记1分，没有的记0分。</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6、有知识产权记录（有专利证书或商标注册证）的记1分，没有的记0分。</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第六条</w:t>
      </w:r>
      <w:r>
        <w:rPr>
          <w:rFonts w:hint="eastAsia" w:ascii="仿宋_GB2312" w:hAnsi="仿宋_GB2312" w:eastAsia="仿宋_GB2312" w:cs="仿宋_GB2312"/>
          <w:sz w:val="32"/>
          <w:szCs w:val="32"/>
        </w:rPr>
        <w:t xml:space="preserve"> 经考核，综合得分80分以上的企业，方可列入县级重点农业龙头企业候选对象；符合认定标准的，下列三类企业有优先权：</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具有本地特色的农产品加工型企业（包括：果、菜、粮、油、水产品、畜禽产品、林业产品为主要加工对象的）。</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以本地农产品为主要购销对象的流通型企业。</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以农科技术开发为主的科技型企业。</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第七条</w:t>
      </w:r>
      <w:r>
        <w:rPr>
          <w:rFonts w:hint="eastAsia" w:ascii="仿宋_GB2312" w:hAnsi="仿宋_GB2312" w:eastAsia="仿宋_GB2312" w:cs="仿宋_GB2312"/>
          <w:sz w:val="32"/>
          <w:szCs w:val="32"/>
        </w:rPr>
        <w:t xml:space="preserve"> 申报企业须提供如下材料：</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（一）填写《</w:t>
      </w:r>
      <w:r>
        <w:rPr>
          <w:rFonts w:hint="eastAsia" w:ascii="仿宋_GB2312" w:hAnsi="仿宋_GB2312" w:eastAsia="仿宋_GB2312" w:cs="仿宋_GB2312"/>
          <w:sz w:val="32"/>
          <w:szCs w:val="32"/>
          <w:lang w:eastAsia="zh-CN"/>
        </w:rPr>
        <w:t>遂溪县</w:t>
      </w:r>
      <w:r>
        <w:rPr>
          <w:rFonts w:hint="eastAsia" w:ascii="仿宋_GB2312" w:hAnsi="仿宋_GB2312" w:eastAsia="仿宋_GB2312" w:cs="仿宋_GB2312"/>
          <w:sz w:val="32"/>
          <w:szCs w:val="32"/>
        </w:rPr>
        <w:t>重点农业龙头企业申报表》（附件1）；</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（二）工商营业执照复印件；</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（三）依法取得土地使用权凭证或企业与有关单位农民集体、个人依法签订的土地、生产设施使用合同、协议等复印件；</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企业与农民专业合作经济组织、专业大户、农村经纪人、农户或村集体经济组织签订农产品购销、订单农业、入股分红、利润返还等形式带动农户的合同、协议复印件5份，以及不少于所带动农户30%的农户名册（附件2），带动农户情况需要提供企业所在地镇政府证明；</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（五）产品质量、环保、科技成果、商标、专利、立项等方面的证明材料；</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1、农产品原产地证明、无公害证书、绿色食品证书或有机食品证书复印件；</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2、省著名商标证书、国家驰名商标证明文件复印件；</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3、省名牌产品、中国名牌产品证书复印件；</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4、企业质量管理体系认证、环保达标评定证明、企业安全与卫生管理体系认证等复印件；</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5、专利证书复印件；</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6、商标注册证复印件；</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7、企业投资备案证复印件</w:t>
      </w:r>
      <w:r>
        <w:rPr>
          <w:rFonts w:hint="eastAsia" w:ascii="仿宋_GB2312" w:hAnsi="仿宋_GB2312" w:eastAsia="仿宋_GB2312" w:cs="仿宋_GB2312"/>
          <w:sz w:val="32"/>
          <w:szCs w:val="32"/>
          <w:highlight w:val="none"/>
        </w:rPr>
        <w:t>;</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8、企业管理制度（必须含“安全生产制度”）和财务制度；</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（六）畜禽养殖企业须提供畜牧兽医主管部门出具的《动物防疫条件合格证》和《畜禽养殖场、养殖小区备案表》；</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（七）企业信用记录情况、纳税情况、上年度资产负债与损益情况、支付职工工资和职工社会养老保险等方面的相关证明或文字说明材料；</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（八）对申报材料真实性负责的承诺函；</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eastAsia="仿宋_GB2312"/>
          <w:sz w:val="32"/>
          <w:szCs w:val="32"/>
          <w:shd w:val="clear" w:color="auto" w:fill="FFFFFF"/>
        </w:rPr>
      </w:pPr>
      <w:r>
        <w:rPr>
          <w:rFonts w:hint="eastAsia" w:ascii="仿宋_GB2312" w:hAnsi="仿宋_GB2312" w:eastAsia="仿宋_GB2312" w:cs="仿宋_GB2312"/>
          <w:sz w:val="32"/>
          <w:szCs w:val="32"/>
        </w:rPr>
        <w:t>（九）企业开展农业产业化经营情况的专题介绍材料（约1500字）。</w:t>
      </w:r>
    </w:p>
    <w:p>
      <w:pPr>
        <w:pStyle w:val="11"/>
        <w:keepNext w:val="0"/>
        <w:keepLines w:val="0"/>
        <w:pageBreakBefore w:val="0"/>
        <w:widowControl w:val="0"/>
        <w:kinsoku/>
        <w:wordWrap/>
        <w:overflowPunct/>
        <w:topLinePunct w:val="0"/>
        <w:autoSpaceDE/>
        <w:bidi w:val="0"/>
        <w:adjustRightInd/>
        <w:snapToGrid w:val="0"/>
        <w:spacing w:line="360" w:lineRule="auto"/>
        <w:ind w:firstLine="643" w:firstLineChars="200"/>
        <w:textAlignment w:val="auto"/>
        <w:rPr>
          <w:rFonts w:eastAsia="仿宋_GB2312"/>
          <w:b/>
          <w:sz w:val="32"/>
          <w:szCs w:val="32"/>
        </w:rPr>
      </w:pPr>
    </w:p>
    <w:p>
      <w:pPr>
        <w:pStyle w:val="11"/>
        <w:keepNext w:val="0"/>
        <w:keepLines w:val="0"/>
        <w:pageBreakBefore w:val="0"/>
        <w:widowControl w:val="0"/>
        <w:kinsoku/>
        <w:wordWrap/>
        <w:overflowPunct/>
        <w:topLinePunct w:val="0"/>
        <w:autoSpaceDE/>
        <w:bidi w:val="0"/>
        <w:adjustRightInd/>
        <w:snapToGrid w:val="0"/>
        <w:spacing w:line="360" w:lineRule="auto"/>
        <w:jc w:val="center"/>
        <w:textAlignment w:val="auto"/>
        <w:rPr>
          <w:rFonts w:eastAsia="黑体"/>
          <w:bCs/>
          <w:sz w:val="32"/>
          <w:szCs w:val="32"/>
        </w:rPr>
      </w:pPr>
      <w:r>
        <w:rPr>
          <w:rFonts w:hint="eastAsia" w:eastAsia="黑体"/>
          <w:bCs/>
          <w:sz w:val="32"/>
          <w:szCs w:val="32"/>
        </w:rPr>
        <w:t>第三章</w:t>
      </w:r>
      <w:r>
        <w:rPr>
          <w:rFonts w:eastAsia="黑体"/>
          <w:bCs/>
          <w:sz w:val="32"/>
          <w:szCs w:val="32"/>
        </w:rPr>
        <w:t xml:space="preserve">  </w:t>
      </w:r>
      <w:r>
        <w:rPr>
          <w:rFonts w:hint="eastAsia" w:eastAsia="黑体"/>
          <w:bCs/>
          <w:sz w:val="32"/>
          <w:szCs w:val="32"/>
        </w:rPr>
        <w:t>申报与认定</w:t>
      </w:r>
    </w:p>
    <w:p>
      <w:pPr>
        <w:pStyle w:val="11"/>
        <w:keepNext w:val="0"/>
        <w:keepLines w:val="0"/>
        <w:pageBreakBefore w:val="0"/>
        <w:widowControl w:val="0"/>
        <w:kinsoku/>
        <w:wordWrap/>
        <w:overflowPunct/>
        <w:topLinePunct w:val="0"/>
        <w:autoSpaceDE/>
        <w:bidi w:val="0"/>
        <w:adjustRightInd/>
        <w:snapToGrid w:val="0"/>
        <w:spacing w:line="360" w:lineRule="auto"/>
        <w:ind w:firstLine="643" w:firstLineChars="200"/>
        <w:textAlignment w:val="auto"/>
        <w:rPr>
          <w:rFonts w:eastAsia="仿宋_GB2312"/>
          <w:b/>
          <w:sz w:val="32"/>
          <w:szCs w:val="32"/>
        </w:rPr>
      </w:pP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r>
        <w:rPr>
          <w:rFonts w:hint="eastAsia" w:eastAsia="楷体_GB2312"/>
          <w:sz w:val="32"/>
          <w:szCs w:val="32"/>
        </w:rPr>
        <w:t>第八条</w:t>
      </w:r>
      <w:r>
        <w:rPr>
          <w:rFonts w:eastAsia="仿宋_GB2312"/>
          <w:sz w:val="32"/>
          <w:szCs w:val="32"/>
        </w:rPr>
        <w:t xml:space="preserve"> </w:t>
      </w:r>
      <w:r>
        <w:rPr>
          <w:rFonts w:hint="eastAsia" w:ascii="仿宋_GB2312" w:hAnsi="仿宋_GB2312" w:eastAsia="仿宋_GB2312" w:cs="仿宋_GB2312"/>
          <w:sz w:val="32"/>
          <w:szCs w:val="32"/>
        </w:rPr>
        <w:t>每年统一组织一次县级重点农业龙头企业申报。</w:t>
      </w: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r>
        <w:rPr>
          <w:rFonts w:hint="eastAsia" w:eastAsia="楷体_GB2312"/>
          <w:sz w:val="32"/>
          <w:szCs w:val="32"/>
        </w:rPr>
        <w:t>第九条</w:t>
      </w:r>
      <w:r>
        <w:rPr>
          <w:rFonts w:eastAsia="仿宋_GB2312"/>
          <w:sz w:val="32"/>
          <w:szCs w:val="32"/>
        </w:rPr>
        <w:t xml:space="preserve"> </w:t>
      </w:r>
      <w:r>
        <w:rPr>
          <w:rFonts w:hint="eastAsia" w:ascii="仿宋_GB2312" w:hAnsi="仿宋_GB2312" w:eastAsia="仿宋_GB2312" w:cs="仿宋_GB2312"/>
          <w:sz w:val="32"/>
          <w:szCs w:val="32"/>
        </w:rPr>
        <w:t>申报程序</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农业农村局下发申报县级重点农业龙头企业的通知。</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（二）申报企业自愿向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农业农村局提出申报县级重点农业龙头企业的申请。</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ascii="Times New Roman" w:hAnsi="Times New Roman" w:eastAsia="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农业农村局相关部门对企业所申报材料的真实性进行认真审核。</w:t>
      </w: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r>
        <w:rPr>
          <w:rFonts w:hint="eastAsia" w:eastAsia="楷体_GB2312"/>
          <w:sz w:val="32"/>
          <w:szCs w:val="32"/>
        </w:rPr>
        <w:t>第十条</w:t>
      </w:r>
      <w:r>
        <w:rPr>
          <w:rFonts w:eastAsia="仿宋_GB2312"/>
          <w:sz w:val="32"/>
          <w:szCs w:val="32"/>
        </w:rPr>
        <w:t xml:space="preserve"> </w:t>
      </w:r>
      <w:r>
        <w:rPr>
          <w:rFonts w:hint="eastAsia" w:ascii="仿宋_GB2312" w:hAnsi="仿宋_GB2312" w:eastAsia="仿宋_GB2312" w:cs="仿宋_GB2312"/>
          <w:sz w:val="32"/>
          <w:szCs w:val="32"/>
        </w:rPr>
        <w:t>审核及认定程序</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农业农村局根据企业申报的材料，组织考核组对申报企业进行实地考核，对符合县级农业龙头认定标准的企业报</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政府审批确认。</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（二）经</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农业农村局审核通过的县级重点农业龙头企业名单，在</w:t>
      </w:r>
      <w:r>
        <w:rPr>
          <w:rFonts w:hint="eastAsia" w:ascii="仿宋_GB2312" w:hAnsi="仿宋_GB2312" w:eastAsia="仿宋_GB2312" w:cs="仿宋_GB2312"/>
          <w:sz w:val="32"/>
          <w:szCs w:val="32"/>
          <w:lang w:eastAsia="zh-CN"/>
        </w:rPr>
        <w:t>遂溪县</w:t>
      </w:r>
      <w:r>
        <w:rPr>
          <w:rFonts w:hint="eastAsia" w:ascii="仿宋_GB2312" w:hAnsi="仿宋_GB2312" w:eastAsia="仿宋_GB2312" w:cs="仿宋_GB2312"/>
          <w:sz w:val="32"/>
          <w:szCs w:val="32"/>
        </w:rPr>
        <w:t>农业农村局门户网站上公示。公示期为7天，公示期满，没有异议的或异议不成立的，由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农业农村局将企业名单及有关资料报</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政府批准，批准后的企业名单在</w:t>
      </w:r>
      <w:r>
        <w:rPr>
          <w:rFonts w:hint="eastAsia" w:ascii="仿宋_GB2312" w:hAnsi="仿宋_GB2312" w:eastAsia="仿宋_GB2312" w:cs="仿宋_GB2312"/>
          <w:sz w:val="32"/>
          <w:szCs w:val="32"/>
          <w:lang w:eastAsia="zh-CN"/>
        </w:rPr>
        <w:t>遂溪县</w:t>
      </w:r>
      <w:r>
        <w:rPr>
          <w:rFonts w:hint="eastAsia" w:ascii="仿宋_GB2312" w:hAnsi="仿宋_GB2312" w:eastAsia="仿宋_GB2312" w:cs="仿宋_GB2312"/>
          <w:sz w:val="32"/>
          <w:szCs w:val="32"/>
        </w:rPr>
        <w:t>农业农村局门户网站上公布，对评定企业授予“</w:t>
      </w:r>
      <w:r>
        <w:rPr>
          <w:rFonts w:hint="eastAsia" w:ascii="仿宋_GB2312" w:hAnsi="仿宋_GB2312" w:eastAsia="仿宋_GB2312" w:cs="仿宋_GB2312"/>
          <w:sz w:val="32"/>
          <w:szCs w:val="32"/>
          <w:lang w:eastAsia="zh-CN"/>
        </w:rPr>
        <w:t>遂溪县</w:t>
      </w:r>
      <w:r>
        <w:rPr>
          <w:rFonts w:hint="eastAsia" w:ascii="仿宋_GB2312" w:hAnsi="仿宋_GB2312" w:eastAsia="仿宋_GB2312" w:cs="仿宋_GB2312"/>
          <w:sz w:val="32"/>
          <w:szCs w:val="32"/>
        </w:rPr>
        <w:t>重点农业龙头企业”证书和牌匾。</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eastAsia="楷体_GB2312"/>
          <w:sz w:val="32"/>
          <w:szCs w:val="32"/>
        </w:rPr>
        <w:t>第十一条</w:t>
      </w:r>
      <w:r>
        <w:rPr>
          <w:rFonts w:eastAsia="仿宋_GB2312"/>
          <w:sz w:val="32"/>
          <w:szCs w:val="32"/>
        </w:rPr>
        <w:t xml:space="preserve"> </w:t>
      </w:r>
      <w:r>
        <w:rPr>
          <w:rFonts w:hint="eastAsia" w:ascii="仿宋_GB2312" w:hAnsi="仿宋_GB2312" w:eastAsia="仿宋_GB2312" w:cs="仿宋_GB2312"/>
          <w:sz w:val="32"/>
          <w:szCs w:val="32"/>
        </w:rPr>
        <w:t>有下列行为之一的企业，不得评为县级重点农业龙头企业，已被评为县级重点农业龙头企业的取消资格，并在3年内不得申报县级重点农业龙头企业。</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（一）被税务部门查实，有违反税收法律、行政法规规定的。</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（二）由于防范措施不力或防范不当，致使发生重大安全事故，造成人民生命和财产重大损失的。</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（三）生产假冒伪劣产品，经市场监管部门查实并给予处罚的。</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（四）环保不达标，经环保部门查实并给予处罚的。</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农业农村局通过正式文件要求企业提供经营情况、财务报表，没有正当理由拒绝提供的。</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（六）在提供有关材料时存在严重的造假行为的。</w:t>
      </w: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r>
        <w:rPr>
          <w:rFonts w:hint="eastAsia" w:ascii="仿宋_GB2312" w:hAnsi="仿宋_GB2312" w:eastAsia="仿宋_GB2312" w:cs="仿宋_GB2312"/>
          <w:sz w:val="32"/>
          <w:szCs w:val="32"/>
        </w:rPr>
        <w:t>（七）严重违反国家法律、法规和政策行为的。</w:t>
      </w: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p>
    <w:p>
      <w:pPr>
        <w:pStyle w:val="11"/>
        <w:keepNext w:val="0"/>
        <w:keepLines w:val="0"/>
        <w:pageBreakBefore w:val="0"/>
        <w:widowControl w:val="0"/>
        <w:kinsoku/>
        <w:wordWrap/>
        <w:overflowPunct/>
        <w:topLinePunct w:val="0"/>
        <w:autoSpaceDE/>
        <w:bidi w:val="0"/>
        <w:adjustRightInd/>
        <w:snapToGrid w:val="0"/>
        <w:spacing w:line="360" w:lineRule="auto"/>
        <w:jc w:val="center"/>
        <w:textAlignment w:val="auto"/>
        <w:rPr>
          <w:rFonts w:eastAsia="仿宋_GB2312"/>
          <w:b/>
          <w:bCs/>
          <w:sz w:val="32"/>
          <w:szCs w:val="32"/>
        </w:rPr>
      </w:pPr>
      <w:r>
        <w:rPr>
          <w:rFonts w:hint="eastAsia" w:eastAsia="黑体"/>
          <w:sz w:val="32"/>
          <w:szCs w:val="32"/>
        </w:rPr>
        <w:t>第</w:t>
      </w:r>
      <w:r>
        <w:rPr>
          <w:rFonts w:hint="eastAsia" w:eastAsia="黑体"/>
          <w:sz w:val="32"/>
          <w:szCs w:val="32"/>
          <w:lang w:eastAsia="zh-CN"/>
        </w:rPr>
        <w:t>四</w:t>
      </w:r>
      <w:r>
        <w:rPr>
          <w:rFonts w:hint="eastAsia" w:eastAsia="黑体"/>
          <w:sz w:val="32"/>
          <w:szCs w:val="32"/>
        </w:rPr>
        <w:t>章</w:t>
      </w:r>
      <w:r>
        <w:rPr>
          <w:rFonts w:eastAsia="黑体"/>
          <w:sz w:val="32"/>
          <w:szCs w:val="32"/>
        </w:rPr>
        <w:t xml:space="preserve">  </w:t>
      </w:r>
      <w:r>
        <w:rPr>
          <w:rFonts w:hint="eastAsia" w:eastAsia="黑体"/>
          <w:sz w:val="32"/>
          <w:szCs w:val="32"/>
        </w:rPr>
        <w:t>附</w:t>
      </w:r>
      <w:r>
        <w:rPr>
          <w:rFonts w:eastAsia="黑体"/>
          <w:sz w:val="32"/>
          <w:szCs w:val="32"/>
        </w:rPr>
        <w:t xml:space="preserve">  </w:t>
      </w:r>
      <w:r>
        <w:rPr>
          <w:rFonts w:hint="eastAsia" w:eastAsia="黑体"/>
          <w:sz w:val="32"/>
          <w:szCs w:val="32"/>
        </w:rPr>
        <w:t>则</w:t>
      </w: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r>
        <w:rPr>
          <w:rFonts w:hint="eastAsia" w:eastAsia="楷体_GB2312"/>
          <w:sz w:val="32"/>
          <w:szCs w:val="32"/>
        </w:rPr>
        <w:t>第十</w:t>
      </w:r>
      <w:r>
        <w:rPr>
          <w:rFonts w:hint="eastAsia" w:eastAsia="楷体_GB2312"/>
          <w:sz w:val="32"/>
          <w:szCs w:val="32"/>
          <w:lang w:eastAsia="zh-CN"/>
        </w:rPr>
        <w:t>二</w:t>
      </w:r>
      <w:r>
        <w:rPr>
          <w:rFonts w:hint="eastAsia" w:eastAsia="楷体_GB2312"/>
          <w:sz w:val="32"/>
          <w:szCs w:val="32"/>
        </w:rPr>
        <w:t>条</w:t>
      </w:r>
      <w:r>
        <w:rPr>
          <w:rFonts w:eastAsia="仿宋_GB2312"/>
          <w:sz w:val="32"/>
          <w:szCs w:val="32"/>
        </w:rPr>
        <w:t xml:space="preserve"> </w:t>
      </w:r>
      <w:r>
        <w:rPr>
          <w:rFonts w:hint="eastAsia" w:ascii="仿宋_GB2312" w:hAnsi="仿宋_GB2312" w:eastAsia="仿宋_GB2312" w:cs="仿宋_GB2312"/>
          <w:sz w:val="32"/>
          <w:szCs w:val="32"/>
        </w:rPr>
        <w:t>县级重点农业龙头企业更改企业名称，需要对其县级重点农业龙头企业称号予以重新确认的，企业应出具市场监管部门的营业执照更名材料，由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农业农村局审核小组审核确认。</w:t>
      </w: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r>
        <w:rPr>
          <w:rFonts w:hint="eastAsia" w:eastAsia="楷体_GB2312"/>
          <w:sz w:val="32"/>
          <w:szCs w:val="32"/>
        </w:rPr>
        <w:t>第十</w:t>
      </w:r>
      <w:r>
        <w:rPr>
          <w:rFonts w:hint="eastAsia" w:eastAsia="楷体_GB2312"/>
          <w:sz w:val="32"/>
          <w:szCs w:val="32"/>
          <w:lang w:eastAsia="zh-CN"/>
        </w:rPr>
        <w:t>三</w:t>
      </w:r>
      <w:r>
        <w:rPr>
          <w:rFonts w:hint="eastAsia" w:eastAsia="楷体_GB2312"/>
          <w:sz w:val="32"/>
          <w:szCs w:val="32"/>
        </w:rPr>
        <w:t>条</w:t>
      </w:r>
      <w:r>
        <w:rPr>
          <w:rFonts w:eastAsia="仿宋_GB2312"/>
          <w:sz w:val="32"/>
          <w:szCs w:val="32"/>
        </w:rPr>
        <w:t xml:space="preserve"> </w:t>
      </w:r>
      <w:r>
        <w:rPr>
          <w:rFonts w:hint="eastAsia" w:ascii="仿宋_GB2312" w:hAnsi="仿宋_GB2312" w:eastAsia="仿宋_GB2312" w:cs="仿宋_GB2312"/>
          <w:sz w:val="32"/>
          <w:szCs w:val="32"/>
        </w:rPr>
        <w:t>本办法由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农业农村局负责解释。</w:t>
      </w:r>
    </w:p>
    <w:p>
      <w:pPr>
        <w:pStyle w:val="11"/>
        <w:keepNext w:val="0"/>
        <w:keepLines w:val="0"/>
        <w:pageBreakBefore w:val="0"/>
        <w:widowControl w:val="0"/>
        <w:kinsoku/>
        <w:wordWrap/>
        <w:overflowPunct/>
        <w:topLinePunct w:val="0"/>
        <w:autoSpaceDE/>
        <w:bidi w:val="0"/>
        <w:adjustRightInd/>
        <w:snapToGrid w:val="0"/>
        <w:spacing w:line="360" w:lineRule="auto"/>
        <w:ind w:firstLine="640" w:firstLineChars="200"/>
        <w:textAlignment w:val="auto"/>
        <w:rPr>
          <w:rFonts w:eastAsia="仿宋_GB2312"/>
          <w:sz w:val="32"/>
          <w:szCs w:val="32"/>
        </w:rPr>
      </w:pPr>
      <w:r>
        <w:rPr>
          <w:rFonts w:hint="eastAsia" w:eastAsia="楷体_GB2312"/>
          <w:sz w:val="32"/>
          <w:szCs w:val="32"/>
        </w:rPr>
        <w:t>第十</w:t>
      </w:r>
      <w:r>
        <w:rPr>
          <w:rFonts w:hint="eastAsia" w:eastAsia="楷体_GB2312"/>
          <w:sz w:val="32"/>
          <w:szCs w:val="32"/>
          <w:lang w:eastAsia="zh-CN"/>
        </w:rPr>
        <w:t>四</w:t>
      </w:r>
      <w:r>
        <w:rPr>
          <w:rFonts w:hint="eastAsia" w:eastAsia="楷体_GB2312"/>
          <w:sz w:val="32"/>
          <w:szCs w:val="32"/>
        </w:rPr>
        <w:t>条</w:t>
      </w:r>
      <w:r>
        <w:rPr>
          <w:rFonts w:eastAsia="楷体_GB2312"/>
          <w:sz w:val="32"/>
          <w:szCs w:val="32"/>
        </w:rPr>
        <w:t xml:space="preserve"> </w:t>
      </w:r>
      <w:r>
        <w:rPr>
          <w:rFonts w:hint="eastAsia" w:ascii="仿宋_GB2312" w:hAnsi="仿宋_GB2312" w:eastAsia="仿宋_GB2312" w:cs="仿宋_GB2312"/>
          <w:sz w:val="32"/>
          <w:szCs w:val="32"/>
        </w:rPr>
        <w:t>本办法自发布之日起试行。</w:t>
      </w:r>
    </w:p>
    <w:p>
      <w:pPr>
        <w:pStyle w:val="11"/>
        <w:keepNext w:val="0"/>
        <w:keepLines w:val="0"/>
        <w:pageBreakBefore w:val="0"/>
        <w:widowControl w:val="0"/>
        <w:kinsoku/>
        <w:wordWrap/>
        <w:overflowPunct/>
        <w:topLinePunct w:val="0"/>
        <w:autoSpaceDE/>
        <w:autoSpaceDN w:val="0"/>
        <w:bidi w:val="0"/>
        <w:adjustRightInd/>
        <w:snapToGrid w:val="0"/>
        <w:spacing w:line="360" w:lineRule="auto"/>
        <w:ind w:firstLine="640" w:firstLineChars="200"/>
        <w:textAlignment w:val="auto"/>
        <w:rPr>
          <w:rFonts w:eastAsia="仿宋_GB2312"/>
          <w:kern w:val="2"/>
          <w:sz w:val="32"/>
          <w:szCs w:val="32"/>
        </w:rPr>
      </w:pPr>
    </w:p>
    <w:p>
      <w:pPr>
        <w:pStyle w:val="11"/>
        <w:keepNext w:val="0"/>
        <w:keepLines w:val="0"/>
        <w:pageBreakBefore w:val="0"/>
        <w:kinsoku/>
        <w:wordWrap/>
        <w:overflowPunct/>
        <w:topLinePunct w:val="0"/>
        <w:autoSpaceDE/>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sz w:val="32"/>
          <w:szCs w:val="32"/>
          <w:lang w:eastAsia="zh-CN"/>
        </w:rPr>
        <w:t>遂溪县</w:t>
      </w:r>
      <w:r>
        <w:rPr>
          <w:rFonts w:hint="eastAsia" w:ascii="仿宋_GB2312" w:hAnsi="仿宋_GB2312" w:eastAsia="仿宋_GB2312" w:cs="仿宋_GB2312"/>
          <w:sz w:val="32"/>
          <w:szCs w:val="32"/>
        </w:rPr>
        <w:t>重点农业龙头企业申报表</w:t>
      </w:r>
    </w:p>
    <w:p>
      <w:pPr>
        <w:pStyle w:val="11"/>
        <w:keepNext w:val="0"/>
        <w:keepLines w:val="0"/>
        <w:pageBreakBefore w:val="0"/>
        <w:kinsoku/>
        <w:wordWrap/>
        <w:overflowPunct/>
        <w:topLinePunct w:val="0"/>
        <w:autoSpaceDE/>
        <w:bidi w:val="0"/>
        <w:adjustRightInd/>
        <w:snapToGrid w:val="0"/>
        <w:spacing w:line="360" w:lineRule="auto"/>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遂溪县</w:t>
      </w:r>
      <w:r>
        <w:rPr>
          <w:rFonts w:hint="eastAsia" w:ascii="仿宋_GB2312" w:hAnsi="仿宋_GB2312" w:eastAsia="仿宋_GB2312" w:cs="仿宋_GB2312"/>
          <w:sz w:val="32"/>
          <w:szCs w:val="32"/>
        </w:rPr>
        <w:t>重点农业龙头企业带动农户名册</w:t>
      </w:r>
    </w:p>
    <w:p>
      <w:pPr>
        <w:spacing w:line="580" w:lineRule="exact"/>
        <w:rPr>
          <w:rFonts w:eastAsia="仿宋_GB2312"/>
          <w:snapToGrid w:val="0"/>
          <w:kern w:val="0"/>
          <w:sz w:val="32"/>
          <w:szCs w:val="32"/>
        </w:rPr>
      </w:pPr>
    </w:p>
    <w:p>
      <w:pPr>
        <w:spacing w:line="580" w:lineRule="exact"/>
        <w:rPr>
          <w:rFonts w:hint="eastAsia" w:ascii="仿宋_GB2312" w:hAnsi="仿宋_GB2312" w:eastAsia="仿宋_GB2312" w:cs="仿宋_GB2312"/>
          <w:snapToGrid w:val="0"/>
          <w:kern w:val="0"/>
          <w:sz w:val="32"/>
          <w:szCs w:val="32"/>
          <w:lang w:val="en-US" w:eastAsia="zh-CN"/>
        </w:rPr>
        <w:sectPr>
          <w:footerReference r:id="rId3" w:type="default"/>
          <w:footerReference r:id="rId4" w:type="even"/>
          <w:pgSz w:w="11906" w:h="16838"/>
          <w:pgMar w:top="1440" w:right="1803" w:bottom="1440" w:left="1803" w:header="851" w:footer="1418" w:gutter="0"/>
          <w:pgNumType w:fmt="numberInDash"/>
          <w:cols w:space="0" w:num="1"/>
          <w:docGrid w:type="lines" w:linePitch="595" w:charSpace="0"/>
        </w:sectPr>
      </w:pPr>
      <w:r>
        <w:rPr>
          <w:rFonts w:hint="eastAsia" w:eastAsia="仿宋_GB2312"/>
          <w:snapToGrid w:val="0"/>
          <w:kern w:val="0"/>
          <w:sz w:val="32"/>
          <w:szCs w:val="32"/>
          <w:lang w:val="en-US" w:eastAsia="zh-CN"/>
        </w:rPr>
        <w:t xml:space="preserve">      联系人：程建勋    联系电话：</w:t>
      </w:r>
      <w:r>
        <w:rPr>
          <w:rFonts w:hint="eastAsia" w:ascii="仿宋_GB2312" w:hAnsi="仿宋_GB2312" w:eastAsia="仿宋_GB2312" w:cs="仿宋_GB2312"/>
          <w:snapToGrid w:val="0"/>
          <w:kern w:val="0"/>
          <w:sz w:val="32"/>
          <w:szCs w:val="32"/>
          <w:lang w:val="en-US" w:eastAsia="zh-CN"/>
        </w:rPr>
        <w:t>13827198946</w:t>
      </w:r>
    </w:p>
    <w:p>
      <w:pPr>
        <w:adjustRightInd w:val="0"/>
        <w:snapToGrid w:val="0"/>
        <w:spacing w:line="520" w:lineRule="exact"/>
        <w:rPr>
          <w:rFonts w:ascii="黑体" w:hAnsi="黑体" w:eastAsia="黑体"/>
          <w:snapToGrid w:val="0"/>
          <w:kern w:val="0"/>
          <w:sz w:val="32"/>
          <w:szCs w:val="32"/>
        </w:rPr>
      </w:pPr>
      <w:r>
        <w:rPr>
          <w:rFonts w:hint="eastAsia" w:ascii="黑体" w:hAnsi="黑体" w:eastAsia="黑体"/>
          <w:snapToGrid w:val="0"/>
          <w:kern w:val="0"/>
          <w:sz w:val="32"/>
          <w:szCs w:val="32"/>
          <w:highlight w:val="none"/>
        </w:rPr>
        <w:t>附件</w:t>
      </w:r>
      <w:r>
        <w:rPr>
          <w:rFonts w:hint="eastAsia" w:ascii="黑体" w:hAnsi="黑体" w:eastAsia="黑体"/>
          <w:snapToGrid w:val="0"/>
          <w:kern w:val="0"/>
          <w:sz w:val="32"/>
          <w:szCs w:val="32"/>
          <w:highlight w:val="none"/>
          <w:lang w:val="en-US" w:eastAsia="zh-CN"/>
        </w:rPr>
        <w:t>1</w:t>
      </w:r>
      <w:r>
        <w:rPr>
          <w:rFonts w:hint="eastAsia" w:ascii="黑体" w:hAnsi="黑体" w:eastAsia="黑体"/>
          <w:snapToGrid w:val="0"/>
          <w:kern w:val="0"/>
          <w:sz w:val="32"/>
          <w:szCs w:val="32"/>
          <w:highlight w:val="none"/>
        </w:rPr>
        <w:t>：</w:t>
      </w:r>
    </w:p>
    <w:p>
      <w:pPr>
        <w:adjustRightInd w:val="0"/>
        <w:snapToGrid w:val="0"/>
        <w:spacing w:line="590" w:lineRule="exact"/>
        <w:rPr>
          <w:rFonts w:ascii="仿宋_GB2312" w:eastAsia="仿宋_GB2312"/>
          <w:snapToGrid w:val="0"/>
          <w:kern w:val="0"/>
          <w:szCs w:val="32"/>
        </w:rPr>
      </w:pPr>
    </w:p>
    <w:p>
      <w:pPr>
        <w:adjustRightInd w:val="0"/>
        <w:snapToGrid w:val="0"/>
        <w:spacing w:line="590" w:lineRule="exact"/>
        <w:rPr>
          <w:rFonts w:ascii="仿宋_GB2312" w:eastAsia="仿宋_GB2312"/>
          <w:snapToGrid w:val="0"/>
          <w:kern w:val="0"/>
          <w:szCs w:val="32"/>
        </w:rPr>
      </w:pPr>
    </w:p>
    <w:p>
      <w:pPr>
        <w:adjustRightInd w:val="0"/>
        <w:snapToGrid w:val="0"/>
        <w:spacing w:line="1000" w:lineRule="exact"/>
        <w:jc w:val="center"/>
        <w:rPr>
          <w:rFonts w:ascii="方正小标宋简体" w:hAnsi="宋体" w:eastAsia="方正小标宋简体"/>
          <w:snapToGrid w:val="0"/>
          <w:kern w:val="0"/>
          <w:sz w:val="64"/>
          <w:szCs w:val="64"/>
        </w:rPr>
      </w:pPr>
      <w:r>
        <w:rPr>
          <w:rFonts w:hint="eastAsia" w:ascii="方正小标宋简体" w:hAnsi="宋体" w:eastAsia="方正小标宋简体"/>
          <w:snapToGrid w:val="0"/>
          <w:kern w:val="0"/>
          <w:sz w:val="64"/>
          <w:szCs w:val="64"/>
          <w:lang w:eastAsia="zh-CN"/>
        </w:rPr>
        <w:t>遂</w:t>
      </w:r>
      <w:r>
        <w:rPr>
          <w:rFonts w:hint="eastAsia" w:ascii="方正小标宋简体" w:hAnsi="宋体" w:eastAsia="方正小标宋简体"/>
          <w:snapToGrid w:val="0"/>
          <w:kern w:val="0"/>
          <w:sz w:val="64"/>
          <w:szCs w:val="64"/>
          <w:lang w:val="en-US" w:eastAsia="zh-CN"/>
        </w:rPr>
        <w:t>溪县</w:t>
      </w:r>
      <w:r>
        <w:rPr>
          <w:rFonts w:hint="eastAsia" w:ascii="方正小标宋简体" w:hAnsi="宋体" w:eastAsia="方正小标宋简体"/>
          <w:snapToGrid w:val="0"/>
          <w:kern w:val="0"/>
          <w:sz w:val="64"/>
          <w:szCs w:val="64"/>
        </w:rPr>
        <w:t>重点农业龙头企业</w:t>
      </w:r>
    </w:p>
    <w:p>
      <w:pPr>
        <w:adjustRightInd w:val="0"/>
        <w:snapToGrid w:val="0"/>
        <w:spacing w:line="590" w:lineRule="exact"/>
        <w:rPr>
          <w:rFonts w:ascii="仿宋_GB2312" w:eastAsia="仿宋_GB2312"/>
          <w:snapToGrid w:val="0"/>
          <w:kern w:val="0"/>
          <w:szCs w:val="32"/>
        </w:rPr>
      </w:pPr>
    </w:p>
    <w:p>
      <w:pPr>
        <w:adjustRightInd w:val="0"/>
        <w:snapToGrid w:val="0"/>
        <w:spacing w:line="590" w:lineRule="exact"/>
        <w:rPr>
          <w:rFonts w:ascii="仿宋_GB2312" w:eastAsia="仿宋_GB2312"/>
          <w:snapToGrid w:val="0"/>
          <w:kern w:val="0"/>
          <w:szCs w:val="32"/>
        </w:rPr>
      </w:pPr>
    </w:p>
    <w:p>
      <w:pPr>
        <w:adjustRightInd w:val="0"/>
        <w:snapToGrid w:val="0"/>
        <w:spacing w:line="1300" w:lineRule="exact"/>
        <w:jc w:val="center"/>
        <w:rPr>
          <w:rFonts w:ascii="方正小标宋简体" w:eastAsia="方正小标宋简体"/>
          <w:snapToGrid w:val="0"/>
          <w:kern w:val="0"/>
          <w:sz w:val="64"/>
          <w:szCs w:val="64"/>
        </w:rPr>
      </w:pPr>
      <w:r>
        <w:rPr>
          <w:rFonts w:hint="eastAsia" w:ascii="方正小标宋简体" w:eastAsia="方正小标宋简体"/>
          <w:snapToGrid w:val="0"/>
          <w:kern w:val="0"/>
          <w:sz w:val="64"/>
          <w:szCs w:val="64"/>
        </w:rPr>
        <w:t>申</w:t>
      </w:r>
    </w:p>
    <w:p>
      <w:pPr>
        <w:adjustRightInd w:val="0"/>
        <w:snapToGrid w:val="0"/>
        <w:spacing w:line="1300" w:lineRule="exact"/>
        <w:jc w:val="center"/>
        <w:rPr>
          <w:rFonts w:ascii="方正小标宋简体" w:eastAsia="方正小标宋简体"/>
          <w:snapToGrid w:val="0"/>
          <w:kern w:val="0"/>
          <w:sz w:val="64"/>
          <w:szCs w:val="64"/>
        </w:rPr>
      </w:pPr>
      <w:r>
        <w:rPr>
          <w:rFonts w:hint="eastAsia" w:ascii="方正小标宋简体" w:eastAsia="方正小标宋简体"/>
          <w:snapToGrid w:val="0"/>
          <w:kern w:val="0"/>
          <w:sz w:val="64"/>
          <w:szCs w:val="64"/>
        </w:rPr>
        <w:t>报</w:t>
      </w:r>
    </w:p>
    <w:p>
      <w:pPr>
        <w:adjustRightInd w:val="0"/>
        <w:snapToGrid w:val="0"/>
        <w:spacing w:line="1300" w:lineRule="exact"/>
        <w:jc w:val="center"/>
        <w:rPr>
          <w:rFonts w:ascii="方正小标宋简体" w:eastAsia="方正小标宋简体"/>
          <w:snapToGrid w:val="0"/>
          <w:kern w:val="0"/>
          <w:sz w:val="64"/>
          <w:szCs w:val="64"/>
        </w:rPr>
      </w:pPr>
      <w:r>
        <w:rPr>
          <w:rFonts w:hint="eastAsia" w:ascii="方正小标宋简体" w:eastAsia="方正小标宋简体"/>
          <w:snapToGrid w:val="0"/>
          <w:kern w:val="0"/>
          <w:sz w:val="64"/>
          <w:szCs w:val="64"/>
        </w:rPr>
        <w:t>表</w:t>
      </w:r>
    </w:p>
    <w:p>
      <w:pPr>
        <w:adjustRightInd w:val="0"/>
        <w:snapToGrid w:val="0"/>
        <w:spacing w:line="590" w:lineRule="exact"/>
        <w:rPr>
          <w:rFonts w:ascii="仿宋_GB2312" w:eastAsia="仿宋_GB2312"/>
          <w:snapToGrid w:val="0"/>
          <w:kern w:val="0"/>
          <w:szCs w:val="32"/>
        </w:rPr>
      </w:pPr>
    </w:p>
    <w:p>
      <w:pPr>
        <w:adjustRightInd w:val="0"/>
        <w:snapToGrid w:val="0"/>
        <w:spacing w:line="590" w:lineRule="exact"/>
        <w:rPr>
          <w:rFonts w:ascii="仿宋_GB2312" w:eastAsia="仿宋_GB2312"/>
          <w:snapToGrid w:val="0"/>
          <w:kern w:val="0"/>
          <w:szCs w:val="32"/>
        </w:rPr>
      </w:pPr>
    </w:p>
    <w:p>
      <w:pPr>
        <w:adjustRightInd w:val="0"/>
        <w:snapToGrid w:val="0"/>
        <w:spacing w:line="590" w:lineRule="exact"/>
        <w:rPr>
          <w:rFonts w:ascii="仿宋_GB2312" w:eastAsia="仿宋_GB2312"/>
          <w:snapToGrid w:val="0"/>
          <w:kern w:val="0"/>
          <w:szCs w:val="32"/>
        </w:rPr>
      </w:pPr>
    </w:p>
    <w:p>
      <w:pPr>
        <w:adjustRightInd w:val="0"/>
        <w:snapToGrid w:val="0"/>
        <w:spacing w:line="590" w:lineRule="exact"/>
        <w:rPr>
          <w:rFonts w:ascii="仿宋_GB2312" w:eastAsia="仿宋_GB2312"/>
          <w:snapToGrid w:val="0"/>
          <w:kern w:val="0"/>
          <w:szCs w:val="32"/>
        </w:rPr>
      </w:pPr>
    </w:p>
    <w:p>
      <w:pPr>
        <w:adjustRightInd w:val="0"/>
        <w:snapToGrid w:val="0"/>
        <w:spacing w:line="590" w:lineRule="exact"/>
        <w:jc w:val="center"/>
        <w:rPr>
          <w:rFonts w:ascii="宋体" w:cs="宋体"/>
          <w:snapToGrid w:val="0"/>
          <w:kern w:val="0"/>
          <w:sz w:val="32"/>
          <w:szCs w:val="32"/>
        </w:rPr>
      </w:pPr>
      <w:r>
        <w:rPr>
          <w:rFonts w:hint="eastAsia" w:ascii="宋体" w:hAnsi="宋体" w:cs="宋体"/>
          <w:snapToGrid w:val="0"/>
          <w:kern w:val="0"/>
          <w:sz w:val="32"/>
          <w:szCs w:val="32"/>
        </w:rPr>
        <w:t>填报单位：</w:t>
      </w:r>
      <w:r>
        <w:rPr>
          <w:rFonts w:ascii="宋体" w:hAnsi="宋体" w:cs="宋体"/>
          <w:snapToGrid w:val="0"/>
          <w:kern w:val="0"/>
          <w:sz w:val="32"/>
          <w:szCs w:val="32"/>
        </w:rPr>
        <w:t xml:space="preserve">            </w:t>
      </w:r>
      <w:r>
        <w:rPr>
          <w:rFonts w:hint="eastAsia" w:ascii="宋体" w:hAnsi="宋体" w:cs="宋体"/>
          <w:snapToGrid w:val="0"/>
          <w:kern w:val="0"/>
          <w:sz w:val="32"/>
          <w:szCs w:val="32"/>
        </w:rPr>
        <w:t>（盖章）</w:t>
      </w:r>
    </w:p>
    <w:p>
      <w:pPr>
        <w:adjustRightInd w:val="0"/>
        <w:snapToGrid w:val="0"/>
        <w:spacing w:line="590" w:lineRule="exact"/>
        <w:jc w:val="center"/>
        <w:rPr>
          <w:rFonts w:ascii="宋体" w:cs="宋体"/>
          <w:snapToGrid w:val="0"/>
          <w:kern w:val="0"/>
          <w:sz w:val="32"/>
          <w:szCs w:val="32"/>
        </w:rPr>
      </w:pPr>
    </w:p>
    <w:p>
      <w:pPr>
        <w:adjustRightInd w:val="0"/>
        <w:snapToGrid w:val="0"/>
        <w:spacing w:line="590" w:lineRule="exact"/>
        <w:jc w:val="center"/>
        <w:rPr>
          <w:rFonts w:ascii="宋体" w:hAnsi="宋体" w:cs="宋体"/>
          <w:snapToGrid w:val="0"/>
          <w:kern w:val="0"/>
          <w:sz w:val="32"/>
          <w:szCs w:val="32"/>
        </w:rPr>
      </w:pPr>
      <w:r>
        <w:rPr>
          <w:rFonts w:hint="eastAsia" w:ascii="宋体" w:hAnsi="宋体" w:cs="宋体"/>
          <w:snapToGrid w:val="0"/>
          <w:kern w:val="0"/>
          <w:sz w:val="32"/>
          <w:szCs w:val="32"/>
        </w:rPr>
        <w:t>填报日期：</w:t>
      </w:r>
      <w:r>
        <w:rPr>
          <w:rFonts w:ascii="宋体" w:hAnsi="宋体" w:cs="宋体"/>
          <w:snapToGrid w:val="0"/>
          <w:kern w:val="0"/>
          <w:sz w:val="32"/>
          <w:szCs w:val="32"/>
        </w:rPr>
        <w:t xml:space="preserve">     </w:t>
      </w:r>
      <w:r>
        <w:rPr>
          <w:rFonts w:hint="eastAsia" w:ascii="宋体" w:hAnsi="宋体" w:cs="宋体"/>
          <w:snapToGrid w:val="0"/>
          <w:kern w:val="0"/>
          <w:sz w:val="32"/>
          <w:szCs w:val="32"/>
        </w:rPr>
        <w:t>年</w:t>
      </w:r>
      <w:r>
        <w:rPr>
          <w:rFonts w:ascii="宋体" w:hAnsi="宋体" w:cs="宋体"/>
          <w:snapToGrid w:val="0"/>
          <w:kern w:val="0"/>
          <w:sz w:val="32"/>
          <w:szCs w:val="32"/>
        </w:rPr>
        <w:t xml:space="preserve">     </w:t>
      </w:r>
      <w:r>
        <w:rPr>
          <w:rFonts w:hint="eastAsia" w:ascii="宋体" w:hAnsi="宋体" w:cs="宋体"/>
          <w:snapToGrid w:val="0"/>
          <w:kern w:val="0"/>
          <w:sz w:val="32"/>
          <w:szCs w:val="32"/>
        </w:rPr>
        <w:t>月</w:t>
      </w:r>
      <w:r>
        <w:rPr>
          <w:rFonts w:ascii="宋体" w:hAnsi="宋体" w:cs="宋体"/>
          <w:snapToGrid w:val="0"/>
          <w:kern w:val="0"/>
          <w:sz w:val="32"/>
          <w:szCs w:val="32"/>
        </w:rPr>
        <w:t xml:space="preserve">    </w:t>
      </w:r>
      <w:r>
        <w:rPr>
          <w:rFonts w:hint="eastAsia" w:ascii="宋体" w:hAnsi="宋体" w:cs="宋体"/>
          <w:snapToGrid w:val="0"/>
          <w:kern w:val="0"/>
          <w:sz w:val="32"/>
          <w:szCs w:val="32"/>
        </w:rPr>
        <w:t>日</w:t>
      </w:r>
    </w:p>
    <w:p>
      <w:pPr>
        <w:adjustRightInd w:val="0"/>
        <w:snapToGrid w:val="0"/>
        <w:spacing w:line="590" w:lineRule="exact"/>
        <w:jc w:val="center"/>
        <w:rPr>
          <w:rFonts w:ascii="宋体" w:cs="宋体"/>
          <w:snapToGrid w:val="0"/>
          <w:kern w:val="0"/>
          <w:sz w:val="32"/>
          <w:szCs w:val="32"/>
        </w:rPr>
      </w:pPr>
    </w:p>
    <w:p>
      <w:pPr>
        <w:adjustRightInd w:val="0"/>
        <w:snapToGrid w:val="0"/>
        <w:spacing w:line="590" w:lineRule="exact"/>
        <w:jc w:val="center"/>
        <w:rPr>
          <w:rFonts w:ascii="方正小标宋简体" w:eastAsia="方正小标宋简体"/>
          <w:bCs/>
          <w:sz w:val="44"/>
          <w:szCs w:val="44"/>
        </w:rPr>
      </w:pPr>
      <w:r>
        <w:rPr>
          <w:rFonts w:hint="eastAsia" w:ascii="方正小标宋简体" w:eastAsia="方正小标宋简体"/>
          <w:bCs/>
          <w:sz w:val="44"/>
          <w:szCs w:val="44"/>
          <w:lang w:eastAsia="zh-CN"/>
        </w:rPr>
        <w:t>遂溪县</w:t>
      </w:r>
      <w:r>
        <w:rPr>
          <w:rFonts w:hint="eastAsia" w:ascii="方正小标宋简体" w:eastAsia="方正小标宋简体"/>
          <w:bCs/>
          <w:sz w:val="44"/>
          <w:szCs w:val="44"/>
        </w:rPr>
        <w:t>重点农业龙头企业申报表</w:t>
      </w:r>
    </w:p>
    <w:p>
      <w:pPr>
        <w:adjustRightInd w:val="0"/>
        <w:snapToGrid w:val="0"/>
        <w:spacing w:line="590" w:lineRule="exact"/>
        <w:jc w:val="center"/>
        <w:rPr>
          <w:rFonts w:ascii="仿宋_GB2312" w:hAnsi="仿宋_GB2312" w:eastAsia="仿宋_GB2312" w:cs="仿宋_GB2312"/>
          <w:snapToGrid w:val="0"/>
          <w:kern w:val="0"/>
          <w:szCs w:val="32"/>
        </w:rPr>
      </w:pPr>
    </w:p>
    <w:tbl>
      <w:tblPr>
        <w:tblStyle w:val="8"/>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9"/>
        <w:gridCol w:w="341"/>
        <w:gridCol w:w="918"/>
        <w:gridCol w:w="1261"/>
        <w:gridCol w:w="1259"/>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jc w:val="center"/>
              <w:rPr>
                <w:rFonts w:ascii="仿宋_GB2312" w:eastAsia="仿宋_GB2312"/>
                <w:sz w:val="24"/>
              </w:rPr>
            </w:pPr>
            <w:r>
              <w:rPr>
                <w:rFonts w:hint="eastAsia" w:ascii="仿宋_GB2312" w:eastAsia="仿宋_GB2312"/>
                <w:sz w:val="24"/>
              </w:rPr>
              <w:t>企</w:t>
            </w:r>
            <w:r>
              <w:rPr>
                <w:rFonts w:ascii="仿宋_GB2312" w:eastAsia="仿宋_GB2312"/>
                <w:sz w:val="24"/>
              </w:rPr>
              <w:t xml:space="preserve">  </w:t>
            </w:r>
            <w:r>
              <w:rPr>
                <w:rFonts w:hint="eastAsia" w:ascii="仿宋_GB2312" w:eastAsia="仿宋_GB2312"/>
                <w:sz w:val="24"/>
              </w:rPr>
              <w:t>业</w:t>
            </w:r>
            <w:r>
              <w:rPr>
                <w:rFonts w:ascii="仿宋_GB2312" w:eastAsia="仿宋_GB2312"/>
                <w:sz w:val="24"/>
              </w:rPr>
              <w:t xml:space="preserve">  </w:t>
            </w:r>
            <w:r>
              <w:rPr>
                <w:rFonts w:hint="eastAsia" w:ascii="仿宋_GB2312" w:eastAsia="仿宋_GB2312"/>
                <w:sz w:val="24"/>
              </w:rPr>
              <w:t>名</w:t>
            </w:r>
            <w:r>
              <w:rPr>
                <w:rFonts w:ascii="仿宋_GB2312" w:eastAsia="仿宋_GB2312"/>
                <w:sz w:val="24"/>
              </w:rPr>
              <w:t xml:space="preserve">  </w:t>
            </w:r>
            <w:r>
              <w:rPr>
                <w:rFonts w:hint="eastAsia" w:ascii="仿宋_GB2312" w:eastAsia="仿宋_GB2312"/>
                <w:sz w:val="24"/>
              </w:rPr>
              <w:t>称</w:t>
            </w:r>
          </w:p>
        </w:tc>
        <w:tc>
          <w:tcPr>
            <w:tcW w:w="2520" w:type="dxa"/>
            <w:gridSpan w:val="3"/>
            <w:vAlign w:val="center"/>
          </w:tcPr>
          <w:p>
            <w:pPr>
              <w:adjustRightInd w:val="0"/>
              <w:snapToGrid w:val="0"/>
              <w:jc w:val="center"/>
              <w:rPr>
                <w:rFonts w:ascii="仿宋_GB2312" w:eastAsia="仿宋_GB2312"/>
                <w:sz w:val="24"/>
              </w:rPr>
            </w:pPr>
          </w:p>
        </w:tc>
        <w:tc>
          <w:tcPr>
            <w:tcW w:w="1259" w:type="dxa"/>
            <w:vAlign w:val="center"/>
          </w:tcPr>
          <w:p>
            <w:pPr>
              <w:adjustRightInd w:val="0"/>
              <w:snapToGrid w:val="0"/>
              <w:jc w:val="center"/>
              <w:rPr>
                <w:rFonts w:ascii="仿宋_GB2312" w:eastAsia="仿宋_GB2312"/>
                <w:sz w:val="24"/>
              </w:rPr>
            </w:pPr>
            <w:r>
              <w:rPr>
                <w:rFonts w:hint="eastAsia" w:ascii="仿宋_GB2312" w:eastAsia="仿宋_GB2312"/>
                <w:sz w:val="24"/>
              </w:rPr>
              <w:t>企业性质</w:t>
            </w: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jc w:val="center"/>
              <w:rPr>
                <w:rFonts w:ascii="仿宋_GB2312" w:eastAsia="仿宋_GB2312"/>
                <w:sz w:val="24"/>
              </w:rPr>
            </w:pPr>
            <w:r>
              <w:rPr>
                <w:rFonts w:hint="eastAsia" w:ascii="仿宋_GB2312" w:eastAsia="仿宋_GB2312"/>
                <w:sz w:val="24"/>
              </w:rPr>
              <w:t>企</w:t>
            </w:r>
            <w:r>
              <w:rPr>
                <w:rFonts w:ascii="仿宋_GB2312" w:eastAsia="仿宋_GB2312"/>
                <w:sz w:val="24"/>
              </w:rPr>
              <w:t xml:space="preserve">  </w:t>
            </w:r>
            <w:r>
              <w:rPr>
                <w:rFonts w:hint="eastAsia" w:ascii="仿宋_GB2312" w:eastAsia="仿宋_GB2312"/>
                <w:sz w:val="24"/>
              </w:rPr>
              <w:t>业</w:t>
            </w:r>
            <w:r>
              <w:rPr>
                <w:rFonts w:ascii="仿宋_GB2312" w:eastAsia="仿宋_GB2312"/>
                <w:sz w:val="24"/>
              </w:rPr>
              <w:t xml:space="preserve">  </w:t>
            </w:r>
            <w:r>
              <w:rPr>
                <w:rFonts w:hint="eastAsia" w:ascii="仿宋_GB2312" w:eastAsia="仿宋_GB2312"/>
                <w:sz w:val="24"/>
              </w:rPr>
              <w:t>地</w:t>
            </w:r>
            <w:r>
              <w:rPr>
                <w:rFonts w:ascii="仿宋_GB2312" w:eastAsia="仿宋_GB2312"/>
                <w:sz w:val="24"/>
              </w:rPr>
              <w:t xml:space="preserve">  </w:t>
            </w:r>
            <w:r>
              <w:rPr>
                <w:rFonts w:hint="eastAsia" w:ascii="仿宋_GB2312" w:eastAsia="仿宋_GB2312"/>
                <w:sz w:val="24"/>
              </w:rPr>
              <w:t>址</w:t>
            </w:r>
          </w:p>
        </w:tc>
        <w:tc>
          <w:tcPr>
            <w:tcW w:w="5171" w:type="dxa"/>
            <w:gridSpan w:val="5"/>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jc w:val="center"/>
              <w:rPr>
                <w:rFonts w:ascii="仿宋_GB2312" w:eastAsia="仿宋_GB2312"/>
                <w:sz w:val="24"/>
              </w:rPr>
            </w:pPr>
            <w:r>
              <w:rPr>
                <w:rFonts w:hint="eastAsia" w:ascii="仿宋_GB2312" w:eastAsia="仿宋_GB2312"/>
                <w:sz w:val="24"/>
              </w:rPr>
              <w:t>创</w:t>
            </w:r>
            <w:r>
              <w:rPr>
                <w:rFonts w:ascii="仿宋_GB2312" w:eastAsia="仿宋_GB2312"/>
                <w:sz w:val="24"/>
              </w:rPr>
              <w:t xml:space="preserve">  </w:t>
            </w:r>
            <w:r>
              <w:rPr>
                <w:rFonts w:hint="eastAsia" w:ascii="仿宋_GB2312" w:eastAsia="仿宋_GB2312"/>
                <w:sz w:val="24"/>
              </w:rPr>
              <w:t>办</w:t>
            </w:r>
            <w:r>
              <w:rPr>
                <w:rFonts w:ascii="仿宋_GB2312" w:eastAsia="仿宋_GB2312"/>
                <w:sz w:val="24"/>
              </w:rPr>
              <w:t xml:space="preserve">  </w:t>
            </w:r>
            <w:r>
              <w:rPr>
                <w:rFonts w:hint="eastAsia" w:ascii="仿宋_GB2312" w:eastAsia="仿宋_GB2312"/>
                <w:sz w:val="24"/>
              </w:rPr>
              <w:t>时</w:t>
            </w:r>
            <w:r>
              <w:rPr>
                <w:rFonts w:ascii="仿宋_GB2312" w:eastAsia="仿宋_GB2312"/>
                <w:sz w:val="24"/>
              </w:rPr>
              <w:t xml:space="preserve">  </w:t>
            </w:r>
            <w:r>
              <w:rPr>
                <w:rFonts w:hint="eastAsia" w:ascii="仿宋_GB2312" w:eastAsia="仿宋_GB2312"/>
                <w:sz w:val="24"/>
              </w:rPr>
              <w:t>间</w:t>
            </w:r>
          </w:p>
        </w:tc>
        <w:tc>
          <w:tcPr>
            <w:tcW w:w="2520" w:type="dxa"/>
            <w:gridSpan w:val="3"/>
            <w:vAlign w:val="center"/>
          </w:tcPr>
          <w:p>
            <w:pPr>
              <w:adjustRightInd w:val="0"/>
              <w:snapToGrid w:val="0"/>
              <w:jc w:val="center"/>
              <w:rPr>
                <w:rFonts w:ascii="仿宋_GB2312" w:eastAsia="仿宋_GB2312"/>
                <w:sz w:val="24"/>
              </w:rPr>
            </w:pPr>
          </w:p>
        </w:tc>
        <w:tc>
          <w:tcPr>
            <w:tcW w:w="1259" w:type="dxa"/>
            <w:vAlign w:val="center"/>
          </w:tcPr>
          <w:p>
            <w:pPr>
              <w:adjustRightInd w:val="0"/>
              <w:snapToGrid w:val="0"/>
              <w:jc w:val="center"/>
              <w:rPr>
                <w:rFonts w:ascii="仿宋_GB2312" w:eastAsia="仿宋_GB2312"/>
                <w:sz w:val="24"/>
              </w:rPr>
            </w:pPr>
            <w:r>
              <w:rPr>
                <w:rFonts w:hint="eastAsia" w:ascii="仿宋_GB2312" w:eastAsia="仿宋_GB2312"/>
                <w:sz w:val="24"/>
              </w:rPr>
              <w:t>邮政编码</w:t>
            </w: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jc w:val="center"/>
              <w:rPr>
                <w:rFonts w:ascii="仿宋_GB2312" w:eastAsia="仿宋_GB2312"/>
                <w:sz w:val="24"/>
              </w:rPr>
            </w:pPr>
            <w:r>
              <w:rPr>
                <w:rFonts w:hint="eastAsia" w:ascii="仿宋_GB2312" w:eastAsia="仿宋_GB2312"/>
                <w:sz w:val="24"/>
              </w:rPr>
              <w:t>联</w:t>
            </w:r>
            <w:r>
              <w:rPr>
                <w:rFonts w:ascii="仿宋_GB2312" w:eastAsia="仿宋_GB2312"/>
                <w:sz w:val="24"/>
              </w:rPr>
              <w:t xml:space="preserve">  </w:t>
            </w:r>
            <w:r>
              <w:rPr>
                <w:rFonts w:hint="eastAsia" w:ascii="仿宋_GB2312" w:eastAsia="仿宋_GB2312"/>
                <w:sz w:val="24"/>
              </w:rPr>
              <w:t>系</w:t>
            </w:r>
            <w:r>
              <w:rPr>
                <w:rFonts w:ascii="仿宋_GB2312" w:eastAsia="仿宋_GB2312"/>
                <w:sz w:val="24"/>
              </w:rPr>
              <w:t xml:space="preserve">  </w:t>
            </w:r>
            <w:r>
              <w:rPr>
                <w:rFonts w:hint="eastAsia" w:ascii="仿宋_GB2312" w:eastAsia="仿宋_GB2312"/>
                <w:sz w:val="24"/>
              </w:rPr>
              <w:t>电</w:t>
            </w:r>
            <w:r>
              <w:rPr>
                <w:rFonts w:ascii="仿宋_GB2312" w:eastAsia="仿宋_GB2312"/>
                <w:sz w:val="24"/>
              </w:rPr>
              <w:t xml:space="preserve">  </w:t>
            </w:r>
            <w:r>
              <w:rPr>
                <w:rFonts w:hint="eastAsia" w:ascii="仿宋_GB2312" w:eastAsia="仿宋_GB2312"/>
                <w:sz w:val="24"/>
              </w:rPr>
              <w:t>话</w:t>
            </w:r>
          </w:p>
        </w:tc>
        <w:tc>
          <w:tcPr>
            <w:tcW w:w="2520" w:type="dxa"/>
            <w:gridSpan w:val="3"/>
            <w:vAlign w:val="center"/>
          </w:tcPr>
          <w:p>
            <w:pPr>
              <w:adjustRightInd w:val="0"/>
              <w:snapToGrid w:val="0"/>
              <w:jc w:val="center"/>
              <w:rPr>
                <w:rFonts w:ascii="仿宋_GB2312" w:eastAsia="仿宋_GB2312"/>
                <w:sz w:val="24"/>
              </w:rPr>
            </w:pPr>
          </w:p>
        </w:tc>
        <w:tc>
          <w:tcPr>
            <w:tcW w:w="1259" w:type="dxa"/>
            <w:vAlign w:val="center"/>
          </w:tcPr>
          <w:p>
            <w:pPr>
              <w:adjustRightInd w:val="0"/>
              <w:snapToGrid w:val="0"/>
              <w:jc w:val="center"/>
              <w:rPr>
                <w:rFonts w:ascii="仿宋_GB2312" w:eastAsia="仿宋_GB2312"/>
                <w:sz w:val="24"/>
              </w:rPr>
            </w:pPr>
            <w:r>
              <w:rPr>
                <w:rFonts w:ascii="仿宋_GB2312" w:eastAsia="仿宋_GB2312"/>
                <w:sz w:val="24"/>
              </w:rPr>
              <w:t>E-mail:</w:t>
            </w: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jc w:val="center"/>
              <w:rPr>
                <w:rFonts w:ascii="仿宋_GB2312" w:eastAsia="仿宋_GB2312"/>
                <w:sz w:val="24"/>
              </w:rPr>
            </w:pPr>
            <w:r>
              <w:rPr>
                <w:rFonts w:hint="eastAsia" w:ascii="仿宋_GB2312" w:eastAsia="仿宋_GB2312"/>
                <w:sz w:val="24"/>
                <w:highlight w:val="none"/>
              </w:rPr>
              <w:t>法人代表</w:t>
            </w:r>
            <w:r>
              <w:rPr>
                <w:rFonts w:hint="eastAsia" w:ascii="仿宋_GB2312" w:eastAsia="仿宋_GB2312"/>
                <w:sz w:val="24"/>
              </w:rPr>
              <w:t>及联系电话</w:t>
            </w:r>
          </w:p>
        </w:tc>
        <w:tc>
          <w:tcPr>
            <w:tcW w:w="5171" w:type="dxa"/>
            <w:gridSpan w:val="5"/>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jc w:val="center"/>
              <w:rPr>
                <w:rFonts w:ascii="仿宋_GB2312" w:eastAsia="仿宋_GB2312"/>
                <w:sz w:val="24"/>
              </w:rPr>
            </w:pPr>
            <w:r>
              <w:rPr>
                <w:rFonts w:hint="eastAsia" w:ascii="仿宋_GB2312" w:eastAsia="仿宋_GB2312"/>
                <w:sz w:val="24"/>
              </w:rPr>
              <w:t>项</w:t>
            </w:r>
            <w:r>
              <w:rPr>
                <w:rFonts w:ascii="仿宋_GB2312" w:eastAsia="仿宋_GB2312"/>
                <w:sz w:val="24"/>
              </w:rPr>
              <w:t xml:space="preserve">          </w:t>
            </w:r>
            <w:r>
              <w:rPr>
                <w:rFonts w:hint="eastAsia" w:ascii="仿宋_GB2312" w:eastAsia="仿宋_GB2312"/>
                <w:sz w:val="24"/>
              </w:rPr>
              <w:t>目</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单位</w:t>
            </w:r>
          </w:p>
        </w:tc>
        <w:tc>
          <w:tcPr>
            <w:tcW w:w="1261" w:type="dxa"/>
            <w:vAlign w:val="center"/>
          </w:tcPr>
          <w:p>
            <w:pPr>
              <w:adjustRightInd w:val="0"/>
              <w:snapToGrid w:val="0"/>
              <w:jc w:val="center"/>
              <w:rPr>
                <w:rFonts w:ascii="仿宋_GB2312" w:eastAsia="仿宋_GB2312"/>
                <w:sz w:val="24"/>
              </w:rPr>
            </w:pPr>
            <w:r>
              <w:rPr>
                <w:rFonts w:hint="eastAsia" w:ascii="仿宋_GB2312" w:eastAsia="仿宋_GB2312"/>
                <w:sz w:val="24"/>
              </w:rPr>
              <w:t>代号</w:t>
            </w:r>
          </w:p>
        </w:tc>
        <w:tc>
          <w:tcPr>
            <w:tcW w:w="1259" w:type="dxa"/>
            <w:vAlign w:val="center"/>
          </w:tcPr>
          <w:p>
            <w:pPr>
              <w:adjustRightInd w:val="0"/>
              <w:snapToGrid w:val="0"/>
              <w:jc w:val="center"/>
              <w:rPr>
                <w:rFonts w:ascii="仿宋_GB2312" w:eastAsia="仿宋_GB2312"/>
                <w:sz w:val="24"/>
              </w:rPr>
            </w:pPr>
            <w:r>
              <w:rPr>
                <w:rFonts w:ascii="仿宋_GB2312" w:eastAsia="仿宋_GB2312"/>
                <w:sz w:val="24"/>
              </w:rPr>
              <w:t xml:space="preserve">20  </w:t>
            </w:r>
            <w:r>
              <w:rPr>
                <w:rFonts w:hint="eastAsia" w:ascii="仿宋_GB2312" w:eastAsia="仿宋_GB2312"/>
                <w:sz w:val="24"/>
              </w:rPr>
              <w:t>年</w:t>
            </w:r>
          </w:p>
        </w:tc>
        <w:tc>
          <w:tcPr>
            <w:tcW w:w="1392" w:type="dxa"/>
            <w:vAlign w:val="center"/>
          </w:tcPr>
          <w:p>
            <w:pPr>
              <w:adjustRightInd w:val="0"/>
              <w:snapToGrid w:val="0"/>
              <w:jc w:val="center"/>
              <w:rPr>
                <w:rFonts w:ascii="仿宋_GB2312" w:eastAsia="仿宋_GB2312"/>
                <w:sz w:val="24"/>
              </w:rPr>
            </w:pPr>
            <w:r>
              <w:rPr>
                <w:rFonts w:ascii="仿宋_GB2312" w:eastAsia="仿宋_GB2312"/>
                <w:sz w:val="24"/>
              </w:rPr>
              <w:t xml:space="preserve">20  </w:t>
            </w:r>
            <w:r>
              <w:rPr>
                <w:rFonts w:hint="eastAsia" w:ascii="仿宋_GB2312" w:eastAsia="仿宋_GB231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bCs/>
                <w:sz w:val="24"/>
              </w:rPr>
            </w:pPr>
            <w:r>
              <w:rPr>
                <w:rFonts w:hint="eastAsia" w:ascii="仿宋_GB2312" w:eastAsia="仿宋_GB2312"/>
                <w:bCs/>
                <w:sz w:val="24"/>
              </w:rPr>
              <w:t>一、企业经营情况</w:t>
            </w:r>
          </w:p>
        </w:tc>
        <w:tc>
          <w:tcPr>
            <w:tcW w:w="1259" w:type="dxa"/>
            <w:gridSpan w:val="2"/>
            <w:vAlign w:val="center"/>
          </w:tcPr>
          <w:p>
            <w:pPr>
              <w:adjustRightInd w:val="0"/>
              <w:snapToGrid w:val="0"/>
              <w:jc w:val="center"/>
              <w:rPr>
                <w:rFonts w:ascii="仿宋_GB2312" w:eastAsia="仿宋_GB2312"/>
                <w:sz w:val="24"/>
              </w:rPr>
            </w:pPr>
            <w:r>
              <w:rPr>
                <w:rFonts w:ascii="仿宋_GB2312" w:eastAsia="仿宋_GB2312"/>
                <w:sz w:val="24"/>
              </w:rPr>
              <w:t>——</w:t>
            </w:r>
          </w:p>
        </w:tc>
        <w:tc>
          <w:tcPr>
            <w:tcW w:w="1261" w:type="dxa"/>
            <w:vAlign w:val="center"/>
          </w:tcPr>
          <w:p>
            <w:pPr>
              <w:adjustRightInd w:val="0"/>
              <w:snapToGrid w:val="0"/>
              <w:jc w:val="center"/>
              <w:rPr>
                <w:rFonts w:ascii="仿宋_GB2312" w:eastAsia="仿宋_GB2312"/>
                <w:sz w:val="24"/>
              </w:rPr>
            </w:pP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w:t>
            </w:r>
            <w:r>
              <w:rPr>
                <w:rFonts w:hint="eastAsia" w:ascii="仿宋_GB2312" w:eastAsia="仿宋_GB2312"/>
                <w:sz w:val="24"/>
              </w:rPr>
              <w:t>注册资本金</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1</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2.</w:t>
            </w:r>
            <w:r>
              <w:rPr>
                <w:rFonts w:hint="eastAsia" w:ascii="仿宋_GB2312" w:eastAsia="仿宋_GB2312"/>
                <w:sz w:val="24"/>
              </w:rPr>
              <w:t>总资产</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2</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ind w:firstLine="235" w:firstLineChars="98"/>
              <w:rPr>
                <w:rFonts w:ascii="仿宋_GB2312" w:eastAsia="仿宋_GB2312"/>
                <w:sz w:val="24"/>
              </w:rPr>
            </w:pPr>
            <w:r>
              <w:rPr>
                <w:rFonts w:hint="eastAsia" w:ascii="仿宋_GB2312" w:eastAsia="仿宋_GB2312"/>
                <w:sz w:val="24"/>
              </w:rPr>
              <w:t>其中：固定资产</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3</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3.</w:t>
            </w:r>
            <w:r>
              <w:rPr>
                <w:rFonts w:hint="eastAsia" w:ascii="仿宋_GB2312" w:eastAsia="仿宋_GB2312"/>
                <w:sz w:val="24"/>
              </w:rPr>
              <w:t>总负债</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4</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4.</w:t>
            </w:r>
            <w:r>
              <w:rPr>
                <w:rFonts w:hint="eastAsia" w:ascii="仿宋_GB2312" w:eastAsia="仿宋_GB2312"/>
                <w:sz w:val="24"/>
              </w:rPr>
              <w:t>资产负债率</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5</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5.</w:t>
            </w:r>
            <w:r>
              <w:rPr>
                <w:rFonts w:hint="eastAsia" w:ascii="仿宋_GB2312" w:eastAsia="仿宋_GB2312"/>
                <w:sz w:val="24"/>
              </w:rPr>
              <w:t>企业销售收入（市场交易额）</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6</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ind w:firstLine="235" w:firstLineChars="98"/>
              <w:rPr>
                <w:rFonts w:ascii="仿宋_GB2312" w:eastAsia="仿宋_GB2312"/>
                <w:sz w:val="24"/>
              </w:rPr>
            </w:pPr>
            <w:r>
              <w:rPr>
                <w:rFonts w:hint="eastAsia" w:ascii="仿宋_GB2312" w:eastAsia="仿宋_GB2312"/>
                <w:sz w:val="24"/>
              </w:rPr>
              <w:t>其中：农产品销售收入</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7</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6.</w:t>
            </w:r>
            <w:r>
              <w:rPr>
                <w:rFonts w:hint="eastAsia" w:ascii="仿宋_GB2312" w:eastAsia="仿宋_GB2312"/>
                <w:sz w:val="24"/>
              </w:rPr>
              <w:t>净利润（税后利润）</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8</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7.</w:t>
            </w:r>
            <w:r>
              <w:rPr>
                <w:rFonts w:hint="eastAsia" w:ascii="仿宋_GB2312" w:eastAsia="仿宋_GB2312"/>
                <w:sz w:val="24"/>
              </w:rPr>
              <w:t>上交税金</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9</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8.</w:t>
            </w:r>
            <w:r>
              <w:rPr>
                <w:rFonts w:hint="eastAsia" w:ascii="仿宋_GB2312" w:eastAsia="仿宋_GB2312"/>
                <w:sz w:val="24"/>
              </w:rPr>
              <w:t>农产品及其加工产品出口创汇</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万美元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10</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9.</w:t>
            </w:r>
            <w:r>
              <w:rPr>
                <w:rFonts w:hint="eastAsia" w:ascii="仿宋_GB2312" w:eastAsia="仿宋_GB2312"/>
                <w:sz w:val="24"/>
              </w:rPr>
              <w:t>实际利用外资额度</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万美元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11</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10.</w:t>
            </w:r>
            <w:r>
              <w:rPr>
                <w:rFonts w:hint="eastAsia" w:ascii="仿宋_GB2312" w:eastAsia="仿宋_GB2312"/>
                <w:sz w:val="24"/>
              </w:rPr>
              <w:t>农产品加工量</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吨</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12</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11.</w:t>
            </w:r>
            <w:r>
              <w:rPr>
                <w:rFonts w:hint="eastAsia" w:ascii="仿宋_GB2312" w:eastAsia="仿宋_GB2312"/>
                <w:sz w:val="24"/>
              </w:rPr>
              <w:t>农产品销售率</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13</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bCs/>
                <w:sz w:val="24"/>
              </w:rPr>
            </w:pPr>
            <w:r>
              <w:rPr>
                <w:rFonts w:hint="eastAsia" w:ascii="仿宋_GB2312" w:eastAsia="仿宋_GB2312"/>
                <w:bCs/>
                <w:sz w:val="24"/>
              </w:rPr>
              <w:t>二、基地情况</w:t>
            </w:r>
          </w:p>
        </w:tc>
        <w:tc>
          <w:tcPr>
            <w:tcW w:w="1259" w:type="dxa"/>
            <w:gridSpan w:val="2"/>
            <w:vAlign w:val="center"/>
          </w:tcPr>
          <w:p>
            <w:pPr>
              <w:adjustRightInd w:val="0"/>
              <w:snapToGrid w:val="0"/>
              <w:jc w:val="center"/>
              <w:rPr>
                <w:rFonts w:ascii="仿宋_GB2312" w:eastAsia="仿宋_GB2312"/>
                <w:sz w:val="24"/>
              </w:rPr>
            </w:pPr>
            <w:r>
              <w:rPr>
                <w:rFonts w:ascii="仿宋_GB2312" w:eastAsia="仿宋_GB2312"/>
                <w:sz w:val="24"/>
              </w:rPr>
              <w:t>——</w:t>
            </w:r>
          </w:p>
        </w:tc>
        <w:tc>
          <w:tcPr>
            <w:tcW w:w="1261" w:type="dxa"/>
            <w:vAlign w:val="center"/>
          </w:tcPr>
          <w:p>
            <w:pPr>
              <w:adjustRightInd w:val="0"/>
              <w:snapToGrid w:val="0"/>
              <w:jc w:val="center"/>
              <w:rPr>
                <w:rFonts w:ascii="仿宋_GB2312" w:eastAsia="仿宋_GB2312"/>
                <w:sz w:val="24"/>
              </w:rPr>
            </w:pP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w:t>
            </w:r>
            <w:r>
              <w:rPr>
                <w:rFonts w:hint="eastAsia" w:ascii="仿宋_GB2312" w:eastAsia="仿宋_GB2312"/>
                <w:sz w:val="24"/>
              </w:rPr>
              <w:t>自有基地种植面积</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亩</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14</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2.</w:t>
            </w:r>
            <w:r>
              <w:rPr>
                <w:rFonts w:hint="eastAsia" w:ascii="仿宋_GB2312" w:eastAsia="仿宋_GB2312"/>
                <w:sz w:val="24"/>
              </w:rPr>
              <w:t>带动农户种植面积</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亩</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15</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3.</w:t>
            </w:r>
            <w:r>
              <w:rPr>
                <w:rFonts w:hint="eastAsia" w:ascii="仿宋_GB2312" w:eastAsia="仿宋_GB2312"/>
                <w:sz w:val="24"/>
              </w:rPr>
              <w:t>自有基地水产养殖面积</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亩</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16</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4.</w:t>
            </w:r>
            <w:r>
              <w:rPr>
                <w:rFonts w:hint="eastAsia" w:ascii="仿宋_GB2312" w:eastAsia="仿宋_GB2312"/>
                <w:sz w:val="24"/>
              </w:rPr>
              <w:t>带动农户水产养殖面积</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亩</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17</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5.</w:t>
            </w:r>
            <w:r>
              <w:rPr>
                <w:rFonts w:hint="eastAsia" w:ascii="仿宋_GB2312" w:eastAsia="仿宋_GB2312"/>
                <w:sz w:val="24"/>
              </w:rPr>
              <w:t>自有基地家禽饲养量</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18</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6.</w:t>
            </w:r>
            <w:r>
              <w:rPr>
                <w:rFonts w:hint="eastAsia" w:ascii="仿宋_GB2312" w:eastAsia="仿宋_GB2312"/>
                <w:sz w:val="24"/>
              </w:rPr>
              <w:t>带动农户家禽饲养量</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19</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7.</w:t>
            </w:r>
            <w:r>
              <w:rPr>
                <w:rFonts w:hint="eastAsia" w:ascii="仿宋_GB2312" w:eastAsia="仿宋_GB2312"/>
                <w:sz w:val="24"/>
              </w:rPr>
              <w:t>自有基地牲畜饲养量</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万头</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20</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8.</w:t>
            </w:r>
            <w:r>
              <w:rPr>
                <w:rFonts w:hint="eastAsia" w:ascii="仿宋_GB2312" w:eastAsia="仿宋_GB2312"/>
                <w:sz w:val="24"/>
              </w:rPr>
              <w:t>带动农户牲畜饲养量</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万头</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21</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bCs/>
                <w:sz w:val="24"/>
              </w:rPr>
            </w:pPr>
            <w:r>
              <w:rPr>
                <w:rFonts w:hint="eastAsia" w:ascii="仿宋_GB2312" w:eastAsia="仿宋_GB2312"/>
                <w:bCs/>
                <w:sz w:val="24"/>
              </w:rPr>
              <w:t>三、带动农户情况</w:t>
            </w:r>
          </w:p>
        </w:tc>
        <w:tc>
          <w:tcPr>
            <w:tcW w:w="1259" w:type="dxa"/>
            <w:gridSpan w:val="2"/>
            <w:vAlign w:val="center"/>
          </w:tcPr>
          <w:p>
            <w:pPr>
              <w:adjustRightInd w:val="0"/>
              <w:snapToGrid w:val="0"/>
              <w:jc w:val="center"/>
              <w:rPr>
                <w:rFonts w:ascii="仿宋_GB2312" w:eastAsia="仿宋_GB2312"/>
                <w:sz w:val="24"/>
              </w:rPr>
            </w:pPr>
            <w:r>
              <w:rPr>
                <w:rFonts w:ascii="仿宋_GB2312" w:eastAsia="仿宋_GB2312"/>
                <w:sz w:val="24"/>
              </w:rPr>
              <w:t>——</w:t>
            </w:r>
          </w:p>
        </w:tc>
        <w:tc>
          <w:tcPr>
            <w:tcW w:w="1261" w:type="dxa"/>
            <w:vAlign w:val="center"/>
          </w:tcPr>
          <w:p>
            <w:pPr>
              <w:adjustRightInd w:val="0"/>
              <w:snapToGrid w:val="0"/>
              <w:jc w:val="center"/>
              <w:rPr>
                <w:rFonts w:ascii="仿宋_GB2312" w:eastAsia="仿宋_GB2312"/>
                <w:sz w:val="24"/>
              </w:rPr>
            </w:pP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w:t>
            </w:r>
            <w:r>
              <w:rPr>
                <w:rFonts w:hint="eastAsia" w:ascii="仿宋_GB2312" w:eastAsia="仿宋_GB2312"/>
                <w:sz w:val="24"/>
              </w:rPr>
              <w:t>带动农户数</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户</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22</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pacing w:val="-20"/>
                <w:sz w:val="24"/>
              </w:rPr>
            </w:pPr>
            <w:r>
              <w:rPr>
                <w:rFonts w:hint="eastAsia" w:ascii="仿宋_GB2312" w:eastAsia="仿宋_GB2312"/>
                <w:spacing w:val="-20"/>
                <w:sz w:val="24"/>
              </w:rPr>
              <w:t>其中：⑴合同关系（含“订单”方式）</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户</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23</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ind w:firstLine="592" w:firstLineChars="247"/>
              <w:rPr>
                <w:rFonts w:ascii="仿宋_GB2312" w:eastAsia="仿宋_GB2312"/>
                <w:sz w:val="24"/>
              </w:rPr>
            </w:pPr>
            <w:r>
              <w:rPr>
                <w:rFonts w:hint="eastAsia" w:ascii="仿宋_GB2312" w:eastAsia="仿宋_GB2312"/>
                <w:sz w:val="24"/>
              </w:rPr>
              <w:t>⑵合作方式按利润返还</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户</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24</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ind w:firstLine="592" w:firstLineChars="247"/>
              <w:rPr>
                <w:rFonts w:ascii="仿宋_GB2312" w:eastAsia="仿宋_GB2312"/>
                <w:sz w:val="24"/>
              </w:rPr>
            </w:pPr>
            <w:r>
              <w:rPr>
                <w:rFonts w:hint="eastAsia" w:ascii="仿宋_GB2312" w:eastAsia="仿宋_GB2312"/>
                <w:sz w:val="24"/>
              </w:rPr>
              <w:t>⑶股份合作方式按股分红</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户</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25</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ind w:firstLine="592" w:firstLineChars="247"/>
              <w:rPr>
                <w:rFonts w:ascii="仿宋_GB2312" w:eastAsia="仿宋_GB2312"/>
                <w:sz w:val="24"/>
              </w:rPr>
            </w:pPr>
            <w:r>
              <w:rPr>
                <w:rFonts w:hint="eastAsia" w:ascii="仿宋_GB2312" w:eastAsia="仿宋_GB2312"/>
                <w:sz w:val="24"/>
              </w:rPr>
              <w:t>⑷</w:t>
            </w:r>
            <w:r>
              <w:rPr>
                <w:rFonts w:hint="eastAsia" w:ascii="仿宋_GB2312" w:eastAsia="仿宋_GB2312"/>
                <w:sz w:val="24"/>
                <w:highlight w:val="none"/>
              </w:rPr>
              <w:t>其它</w:t>
            </w:r>
            <w:r>
              <w:rPr>
                <w:rFonts w:hint="eastAsia" w:ascii="仿宋_GB2312" w:eastAsia="仿宋_GB2312"/>
                <w:sz w:val="24"/>
              </w:rPr>
              <w:t>方式</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户</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26</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2.</w:t>
            </w:r>
            <w:r>
              <w:rPr>
                <w:rFonts w:hint="eastAsia" w:ascii="仿宋_GB2312" w:eastAsia="仿宋_GB2312"/>
                <w:sz w:val="24"/>
              </w:rPr>
              <w:t>带动农户增收</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27</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3.</w:t>
            </w:r>
            <w:r>
              <w:rPr>
                <w:rFonts w:hint="eastAsia" w:ascii="仿宋_GB2312" w:eastAsia="仿宋_GB2312"/>
                <w:sz w:val="24"/>
              </w:rPr>
              <w:t>平均每户增收</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28</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bCs/>
                <w:sz w:val="24"/>
              </w:rPr>
            </w:pPr>
            <w:r>
              <w:rPr>
                <w:rFonts w:hint="eastAsia" w:ascii="仿宋_GB2312" w:eastAsia="仿宋_GB2312"/>
                <w:bCs/>
                <w:sz w:val="24"/>
              </w:rPr>
              <w:t>四、企业在岗人数</w:t>
            </w:r>
          </w:p>
        </w:tc>
        <w:tc>
          <w:tcPr>
            <w:tcW w:w="1259" w:type="dxa"/>
            <w:gridSpan w:val="2"/>
            <w:vAlign w:val="center"/>
          </w:tcPr>
          <w:p>
            <w:pPr>
              <w:adjustRightInd w:val="0"/>
              <w:snapToGrid w:val="0"/>
              <w:jc w:val="center"/>
              <w:rPr>
                <w:rFonts w:ascii="仿宋_GB2312" w:eastAsia="仿宋_GB2312"/>
                <w:sz w:val="24"/>
              </w:rPr>
            </w:pPr>
            <w:r>
              <w:rPr>
                <w:rFonts w:ascii="仿宋_GB2312" w:eastAsia="仿宋_GB2312"/>
                <w:sz w:val="24"/>
              </w:rPr>
              <w:t>——</w:t>
            </w:r>
          </w:p>
        </w:tc>
        <w:tc>
          <w:tcPr>
            <w:tcW w:w="1261" w:type="dxa"/>
            <w:vAlign w:val="center"/>
          </w:tcPr>
          <w:p>
            <w:pPr>
              <w:adjustRightInd w:val="0"/>
              <w:snapToGrid w:val="0"/>
              <w:jc w:val="center"/>
              <w:rPr>
                <w:rFonts w:ascii="仿宋_GB2312" w:eastAsia="仿宋_GB2312"/>
                <w:sz w:val="24"/>
              </w:rPr>
            </w:pP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w:t>
            </w:r>
            <w:r>
              <w:rPr>
                <w:rFonts w:hint="eastAsia" w:ascii="仿宋_GB2312" w:eastAsia="仿宋_GB2312"/>
                <w:sz w:val="24"/>
              </w:rPr>
              <w:t>小计</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29</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pacing w:val="-20"/>
                <w:sz w:val="24"/>
              </w:rPr>
            </w:pPr>
            <w:r>
              <w:rPr>
                <w:rFonts w:hint="eastAsia" w:ascii="仿宋_GB2312" w:eastAsia="仿宋_GB2312"/>
                <w:spacing w:val="-20"/>
                <w:sz w:val="24"/>
              </w:rPr>
              <w:t>其中：⑴签订合同职工数</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30</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ind w:firstLine="352" w:firstLineChars="147"/>
              <w:rPr>
                <w:rFonts w:ascii="仿宋_GB2312" w:eastAsia="仿宋_GB2312"/>
                <w:sz w:val="24"/>
              </w:rPr>
            </w:pPr>
            <w:r>
              <w:rPr>
                <w:rFonts w:ascii="仿宋_GB2312" w:eastAsia="仿宋_GB2312"/>
                <w:sz w:val="24"/>
              </w:rPr>
              <w:t xml:space="preserve">  </w:t>
            </w:r>
            <w:r>
              <w:rPr>
                <w:rFonts w:hint="eastAsia" w:ascii="仿宋_GB2312" w:eastAsia="仿宋_GB2312"/>
                <w:sz w:val="24"/>
              </w:rPr>
              <w:t>⑵季节性临时工人</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31</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bCs/>
                <w:sz w:val="24"/>
              </w:rPr>
            </w:pPr>
            <w:r>
              <w:rPr>
                <w:rFonts w:hint="eastAsia" w:ascii="仿宋_GB2312" w:eastAsia="仿宋_GB2312"/>
                <w:bCs/>
                <w:sz w:val="24"/>
              </w:rPr>
              <w:t>五、企业竞争力指标</w:t>
            </w:r>
          </w:p>
        </w:tc>
        <w:tc>
          <w:tcPr>
            <w:tcW w:w="1259" w:type="dxa"/>
            <w:gridSpan w:val="2"/>
            <w:vAlign w:val="center"/>
          </w:tcPr>
          <w:p>
            <w:pPr>
              <w:adjustRightInd w:val="0"/>
              <w:snapToGrid w:val="0"/>
              <w:jc w:val="center"/>
              <w:rPr>
                <w:rFonts w:ascii="仿宋_GB2312" w:eastAsia="仿宋_GB2312"/>
                <w:sz w:val="24"/>
              </w:rPr>
            </w:pPr>
          </w:p>
        </w:tc>
        <w:tc>
          <w:tcPr>
            <w:tcW w:w="1261" w:type="dxa"/>
            <w:vAlign w:val="center"/>
          </w:tcPr>
          <w:p>
            <w:pPr>
              <w:adjustRightInd w:val="0"/>
              <w:snapToGrid w:val="0"/>
              <w:jc w:val="center"/>
              <w:rPr>
                <w:rFonts w:ascii="仿宋_GB2312" w:eastAsia="仿宋_GB2312"/>
                <w:sz w:val="24"/>
              </w:rPr>
            </w:pP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w:t>
            </w:r>
            <w:r>
              <w:rPr>
                <w:rFonts w:hint="eastAsia" w:ascii="仿宋_GB2312" w:eastAsia="仿宋_GB2312"/>
                <w:sz w:val="24"/>
              </w:rPr>
              <w:t>有专门研发机构</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32</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2.</w:t>
            </w:r>
            <w:r>
              <w:rPr>
                <w:rFonts w:hint="eastAsia" w:ascii="仿宋_GB2312" w:eastAsia="仿宋_GB2312"/>
                <w:sz w:val="24"/>
              </w:rPr>
              <w:t>专门研发人员数</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33</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3.</w:t>
            </w:r>
            <w:r>
              <w:rPr>
                <w:rFonts w:hint="eastAsia" w:ascii="仿宋_GB2312" w:eastAsia="仿宋_GB2312"/>
                <w:sz w:val="24"/>
              </w:rPr>
              <w:t>当年投入研发经费</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万元</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34</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4.</w:t>
            </w:r>
            <w:r>
              <w:rPr>
                <w:rFonts w:hint="eastAsia" w:ascii="仿宋_GB2312" w:eastAsia="仿宋_GB2312"/>
                <w:sz w:val="24"/>
              </w:rPr>
              <w:t>被市级以上认定的高科技企业</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35</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5.</w:t>
            </w:r>
            <w:r>
              <w:rPr>
                <w:rFonts w:hint="eastAsia" w:ascii="仿宋_GB2312" w:eastAsia="仿宋_GB2312"/>
                <w:sz w:val="24"/>
              </w:rPr>
              <w:t>建有专门质检机构</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36</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6.</w:t>
            </w:r>
            <w:r>
              <w:rPr>
                <w:rFonts w:hint="eastAsia" w:ascii="仿宋_GB2312" w:eastAsia="仿宋_GB2312"/>
                <w:sz w:val="24"/>
              </w:rPr>
              <w:t>建有企业质量管理制度</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项</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37</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w w:val="90"/>
                <w:sz w:val="24"/>
              </w:rPr>
            </w:pPr>
            <w:r>
              <w:rPr>
                <w:rFonts w:ascii="仿宋_GB2312" w:eastAsia="仿宋_GB2312"/>
                <w:w w:val="90"/>
                <w:sz w:val="24"/>
              </w:rPr>
              <w:t>7.</w:t>
            </w:r>
            <w:r>
              <w:rPr>
                <w:rFonts w:hint="eastAsia" w:ascii="仿宋_GB2312" w:eastAsia="仿宋_GB2312"/>
                <w:w w:val="90"/>
                <w:sz w:val="24"/>
              </w:rPr>
              <w:t>获得市级以上名牌产品或优质奖数</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38</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8.</w:t>
            </w:r>
            <w:r>
              <w:rPr>
                <w:rFonts w:hint="eastAsia" w:ascii="仿宋_GB2312" w:eastAsia="仿宋_GB2312"/>
                <w:sz w:val="24"/>
              </w:rPr>
              <w:t>获得市级以上科技进步奖数</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39</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9.</w:t>
            </w:r>
            <w:r>
              <w:rPr>
                <w:rFonts w:hint="eastAsia" w:ascii="仿宋_GB2312" w:eastAsia="仿宋_GB2312"/>
                <w:sz w:val="24"/>
              </w:rPr>
              <w:t>获得商标数</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40</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10.</w:t>
            </w:r>
            <w:r>
              <w:rPr>
                <w:rFonts w:hint="eastAsia" w:ascii="仿宋_GB2312" w:eastAsia="仿宋_GB2312"/>
                <w:sz w:val="24"/>
              </w:rPr>
              <w:t>获得专利数</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41</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11.GMP</w:t>
            </w:r>
            <w:r>
              <w:rPr>
                <w:rFonts w:hint="eastAsia" w:ascii="仿宋_GB2312" w:eastAsia="仿宋_GB2312"/>
                <w:sz w:val="24"/>
              </w:rPr>
              <w:t>认证</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42</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12.HACCP</w:t>
            </w:r>
            <w:r>
              <w:rPr>
                <w:rFonts w:hint="eastAsia" w:ascii="仿宋_GB2312" w:eastAsia="仿宋_GB2312"/>
                <w:sz w:val="24"/>
              </w:rPr>
              <w:t>认证</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43</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13.ISO</w:t>
            </w:r>
            <w:r>
              <w:rPr>
                <w:rFonts w:hint="eastAsia" w:ascii="仿宋_GB2312" w:eastAsia="仿宋_GB2312"/>
                <w:sz w:val="24"/>
              </w:rPr>
              <w:t>系列认证</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44</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14.FDA</w:t>
            </w:r>
            <w:r>
              <w:rPr>
                <w:rFonts w:hint="eastAsia" w:ascii="仿宋_GB2312" w:eastAsia="仿宋_GB2312"/>
                <w:sz w:val="24"/>
              </w:rPr>
              <w:t>认证</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45</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15.</w:t>
            </w:r>
            <w:r>
              <w:rPr>
                <w:rFonts w:hint="eastAsia" w:ascii="仿宋_GB2312" w:eastAsia="仿宋_GB2312"/>
                <w:sz w:val="24"/>
              </w:rPr>
              <w:t>有机产品认证</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46</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16.</w:t>
            </w:r>
            <w:r>
              <w:rPr>
                <w:rFonts w:hint="eastAsia" w:ascii="仿宋_GB2312" w:eastAsia="仿宋_GB2312"/>
                <w:sz w:val="24"/>
              </w:rPr>
              <w:t>绿色食品认证</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47</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17.</w:t>
            </w:r>
            <w:r>
              <w:rPr>
                <w:rFonts w:hint="eastAsia" w:ascii="仿宋_GB2312" w:eastAsia="仿宋_GB2312"/>
                <w:sz w:val="24"/>
              </w:rPr>
              <w:t>无公害产品认证</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48</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889" w:type="dxa"/>
            <w:vAlign w:val="center"/>
          </w:tcPr>
          <w:p>
            <w:pPr>
              <w:adjustRightInd w:val="0"/>
              <w:snapToGrid w:val="0"/>
              <w:rPr>
                <w:rFonts w:ascii="仿宋_GB2312" w:eastAsia="仿宋_GB2312"/>
                <w:sz w:val="24"/>
              </w:rPr>
            </w:pPr>
            <w:r>
              <w:rPr>
                <w:rFonts w:ascii="仿宋_GB2312" w:eastAsia="仿宋_GB2312"/>
                <w:sz w:val="24"/>
              </w:rPr>
              <w:t>18.</w:t>
            </w:r>
            <w:r>
              <w:rPr>
                <w:rFonts w:hint="eastAsia" w:ascii="仿宋_GB2312" w:eastAsia="仿宋_GB2312"/>
                <w:sz w:val="24"/>
              </w:rPr>
              <w:t>农产品产地认证</w:t>
            </w:r>
          </w:p>
        </w:tc>
        <w:tc>
          <w:tcPr>
            <w:tcW w:w="1259" w:type="dxa"/>
            <w:gridSpan w:val="2"/>
            <w:vAlign w:val="center"/>
          </w:tcPr>
          <w:p>
            <w:pPr>
              <w:adjustRightInd w:val="0"/>
              <w:snapToGrid w:val="0"/>
              <w:jc w:val="center"/>
              <w:rPr>
                <w:rFonts w:ascii="仿宋_GB2312" w:eastAsia="仿宋_GB2312"/>
                <w:sz w:val="24"/>
              </w:rPr>
            </w:pPr>
            <w:r>
              <w:rPr>
                <w:rFonts w:hint="eastAsia" w:ascii="仿宋_GB2312" w:eastAsia="仿宋_GB2312"/>
                <w:sz w:val="24"/>
              </w:rPr>
              <w:t>个</w:t>
            </w:r>
          </w:p>
        </w:tc>
        <w:tc>
          <w:tcPr>
            <w:tcW w:w="1261" w:type="dxa"/>
            <w:vAlign w:val="center"/>
          </w:tcPr>
          <w:p>
            <w:pPr>
              <w:adjustRightInd w:val="0"/>
              <w:snapToGrid w:val="0"/>
              <w:jc w:val="center"/>
              <w:rPr>
                <w:rFonts w:ascii="仿宋_GB2312" w:eastAsia="仿宋_GB2312"/>
                <w:sz w:val="24"/>
              </w:rPr>
            </w:pPr>
            <w:r>
              <w:rPr>
                <w:rFonts w:ascii="仿宋_GB2312" w:eastAsia="仿宋_GB2312"/>
                <w:sz w:val="24"/>
              </w:rPr>
              <w:t>49</w:t>
            </w:r>
          </w:p>
        </w:tc>
        <w:tc>
          <w:tcPr>
            <w:tcW w:w="1259" w:type="dxa"/>
            <w:vAlign w:val="center"/>
          </w:tcPr>
          <w:p>
            <w:pPr>
              <w:adjustRightInd w:val="0"/>
              <w:snapToGrid w:val="0"/>
              <w:jc w:val="center"/>
              <w:rPr>
                <w:rFonts w:ascii="仿宋_GB2312" w:eastAsia="仿宋_GB2312"/>
                <w:sz w:val="24"/>
              </w:rPr>
            </w:pPr>
          </w:p>
        </w:tc>
        <w:tc>
          <w:tcPr>
            <w:tcW w:w="1392" w:type="dxa"/>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3" w:hRule="atLeast"/>
          <w:jc w:val="center"/>
        </w:trPr>
        <w:tc>
          <w:tcPr>
            <w:tcW w:w="9060" w:type="dxa"/>
            <w:gridSpan w:val="6"/>
          </w:tcPr>
          <w:p>
            <w:pPr>
              <w:adjustRightInd w:val="0"/>
              <w:snapToGrid w:val="0"/>
              <w:rPr>
                <w:rFonts w:ascii="仿宋_GB2312" w:eastAsia="仿宋_GB2312"/>
                <w:sz w:val="24"/>
              </w:rPr>
            </w:pPr>
            <w:r>
              <w:rPr>
                <w:rFonts w:hint="eastAsia" w:ascii="仿宋_GB2312" w:eastAsia="仿宋_GB2312"/>
                <w:sz w:val="24"/>
              </w:rPr>
              <w:t>企业简介（可另加附页）：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8" w:hRule="atLeast"/>
          <w:jc w:val="center"/>
        </w:trPr>
        <w:tc>
          <w:tcPr>
            <w:tcW w:w="4230" w:type="dxa"/>
            <w:gridSpan w:val="2"/>
          </w:tcPr>
          <w:p>
            <w:pPr>
              <w:adjustRightInd w:val="0"/>
              <w:snapToGrid w:val="0"/>
              <w:rPr>
                <w:rFonts w:ascii="仿宋_GB2312" w:eastAsia="仿宋_GB2312"/>
                <w:sz w:val="24"/>
              </w:rPr>
            </w:pPr>
            <w:r>
              <w:rPr>
                <w:rFonts w:hint="eastAsia" w:ascii="仿宋_GB2312" w:eastAsia="仿宋_GB2312"/>
                <w:sz w:val="24"/>
                <w:lang w:eastAsia="zh-CN"/>
              </w:rPr>
              <w:t>县</w:t>
            </w:r>
            <w:r>
              <w:rPr>
                <w:rFonts w:hint="eastAsia" w:ascii="仿宋_GB2312" w:eastAsia="仿宋_GB2312"/>
                <w:sz w:val="24"/>
              </w:rPr>
              <w:t>农业农村局意见：</w:t>
            </w:r>
          </w:p>
        </w:tc>
        <w:tc>
          <w:tcPr>
            <w:tcW w:w="4830" w:type="dxa"/>
            <w:gridSpan w:val="4"/>
          </w:tcPr>
          <w:p>
            <w:pPr>
              <w:adjustRightInd w:val="0"/>
              <w:snapToGrid w:val="0"/>
              <w:rPr>
                <w:rFonts w:ascii="仿宋_GB2312" w:eastAsia="仿宋_GB2312"/>
                <w:sz w:val="24"/>
              </w:rPr>
            </w:pPr>
            <w:r>
              <w:rPr>
                <w:rFonts w:hint="eastAsia" w:ascii="仿宋_GB2312" w:eastAsia="仿宋_GB2312"/>
                <w:sz w:val="24"/>
                <w:lang w:eastAsia="zh-CN"/>
              </w:rPr>
              <w:t>县</w:t>
            </w:r>
            <w:r>
              <w:rPr>
                <w:rFonts w:hint="eastAsia" w:ascii="仿宋_GB2312" w:eastAsia="仿宋_GB2312"/>
                <w:sz w:val="24"/>
              </w:rPr>
              <w:t>政府意见：</w:t>
            </w:r>
          </w:p>
        </w:tc>
      </w:tr>
    </w:tbl>
    <w:p>
      <w:pPr>
        <w:keepNext w:val="0"/>
        <w:keepLines w:val="0"/>
        <w:pageBreakBefore w:val="0"/>
        <w:widowControl w:val="0"/>
        <w:kinsoku/>
        <w:wordWrap/>
        <w:overflowPunct/>
        <w:topLinePunct w:val="0"/>
        <w:autoSpaceDE/>
        <w:autoSpaceDN/>
        <w:bidi w:val="0"/>
        <w:spacing w:line="500" w:lineRule="exact"/>
        <w:ind w:firstLine="220" w:firstLineChars="100"/>
        <w:textAlignment w:val="auto"/>
        <w:rPr>
          <w:rFonts w:ascii="仿宋_GB2312" w:eastAsia="仿宋_GB2312"/>
          <w:sz w:val="22"/>
          <w:szCs w:val="22"/>
        </w:rPr>
      </w:pPr>
      <w:r>
        <w:rPr>
          <w:rFonts w:hint="eastAsia" w:ascii="仿宋_GB2312" w:eastAsia="仿宋_GB2312"/>
          <w:sz w:val="22"/>
          <w:szCs w:val="22"/>
        </w:rPr>
        <w:t>指标解释：</w:t>
      </w:r>
      <w:r>
        <w:rPr>
          <w:rFonts w:ascii="仿宋_GB2312" w:eastAsia="仿宋_GB2312"/>
          <w:sz w:val="22"/>
          <w:szCs w:val="22"/>
        </w:rPr>
        <w:t>1.</w:t>
      </w:r>
      <w:r>
        <w:rPr>
          <w:rFonts w:hint="eastAsia" w:ascii="仿宋_GB2312" w:eastAsia="仿宋_GB2312"/>
          <w:sz w:val="22"/>
          <w:szCs w:val="22"/>
        </w:rPr>
        <w:t>销售收入是指当年企业实现的销售收入总额。</w:t>
      </w:r>
    </w:p>
    <w:p>
      <w:pPr>
        <w:keepNext w:val="0"/>
        <w:keepLines w:val="0"/>
        <w:pageBreakBefore w:val="0"/>
        <w:widowControl w:val="0"/>
        <w:kinsoku/>
        <w:wordWrap/>
        <w:overflowPunct/>
        <w:topLinePunct w:val="0"/>
        <w:autoSpaceDE/>
        <w:autoSpaceDN/>
        <w:bidi w:val="0"/>
        <w:spacing w:line="500" w:lineRule="exact"/>
        <w:ind w:firstLine="1306" w:firstLineChars="594"/>
        <w:textAlignment w:val="auto"/>
        <w:rPr>
          <w:rFonts w:ascii="仿宋_GB2312" w:eastAsia="仿宋_GB2312"/>
          <w:sz w:val="22"/>
          <w:szCs w:val="22"/>
        </w:rPr>
      </w:pPr>
      <w:r>
        <w:rPr>
          <w:rFonts w:ascii="仿宋_GB2312" w:eastAsia="仿宋_GB2312"/>
          <w:sz w:val="22"/>
          <w:szCs w:val="22"/>
        </w:rPr>
        <w:t>2.</w:t>
      </w:r>
      <w:r>
        <w:rPr>
          <w:rFonts w:hint="eastAsia" w:ascii="仿宋_GB2312" w:eastAsia="仿宋_GB2312"/>
          <w:sz w:val="22"/>
          <w:szCs w:val="22"/>
        </w:rPr>
        <w:t>交易额是指全年进场交易的各类产品成交额之和。</w:t>
      </w:r>
    </w:p>
    <w:p>
      <w:pPr>
        <w:keepNext w:val="0"/>
        <w:keepLines w:val="0"/>
        <w:pageBreakBefore w:val="0"/>
        <w:widowControl w:val="0"/>
        <w:kinsoku/>
        <w:wordWrap/>
        <w:overflowPunct/>
        <w:topLinePunct w:val="0"/>
        <w:autoSpaceDE/>
        <w:autoSpaceDN/>
        <w:bidi w:val="0"/>
        <w:spacing w:line="500" w:lineRule="exact"/>
        <w:ind w:firstLine="1306" w:firstLineChars="594"/>
        <w:textAlignment w:val="auto"/>
        <w:rPr>
          <w:rFonts w:ascii="仿宋_GB2312" w:eastAsia="仿宋_GB2312"/>
          <w:sz w:val="22"/>
          <w:szCs w:val="22"/>
        </w:rPr>
      </w:pPr>
      <w:r>
        <w:rPr>
          <w:rFonts w:ascii="仿宋_GB2312" w:eastAsia="仿宋_GB2312"/>
          <w:sz w:val="22"/>
          <w:szCs w:val="22"/>
        </w:rPr>
        <w:t>3.</w:t>
      </w:r>
      <w:r>
        <w:rPr>
          <w:rFonts w:hint="eastAsia" w:ascii="仿宋_GB2312" w:eastAsia="仿宋_GB2312"/>
          <w:sz w:val="22"/>
          <w:szCs w:val="22"/>
        </w:rPr>
        <w:t>实际利用外资额度是指外商对企业投资的实际资金数额。</w:t>
      </w:r>
    </w:p>
    <w:p>
      <w:pPr>
        <w:keepNext w:val="0"/>
        <w:keepLines w:val="0"/>
        <w:pageBreakBefore w:val="0"/>
        <w:widowControl w:val="0"/>
        <w:kinsoku/>
        <w:wordWrap/>
        <w:overflowPunct/>
        <w:topLinePunct w:val="0"/>
        <w:autoSpaceDE/>
        <w:autoSpaceDN/>
        <w:bidi w:val="0"/>
        <w:spacing w:line="500" w:lineRule="exact"/>
        <w:ind w:firstLine="1306" w:firstLineChars="594"/>
        <w:textAlignment w:val="auto"/>
        <w:rPr>
          <w:rFonts w:ascii="仿宋_GB2312" w:eastAsia="仿宋_GB2312"/>
          <w:sz w:val="22"/>
          <w:szCs w:val="22"/>
        </w:rPr>
      </w:pPr>
      <w:r>
        <w:rPr>
          <w:rFonts w:ascii="仿宋_GB2312" w:eastAsia="仿宋_GB2312"/>
          <w:sz w:val="22"/>
          <w:szCs w:val="22"/>
        </w:rPr>
        <w:t>4.</w:t>
      </w:r>
      <w:r>
        <w:rPr>
          <w:rFonts w:hint="eastAsia" w:ascii="仿宋_GB2312" w:eastAsia="仿宋_GB2312"/>
          <w:sz w:val="22"/>
          <w:szCs w:val="22"/>
        </w:rPr>
        <w:t>合同关系是指以合同、订单等契约方式向农户收购农产品、提供生产资料</w:t>
      </w:r>
    </w:p>
    <w:p>
      <w:pPr>
        <w:keepNext w:val="0"/>
        <w:keepLines w:val="0"/>
        <w:pageBreakBefore w:val="0"/>
        <w:widowControl w:val="0"/>
        <w:kinsoku/>
        <w:wordWrap/>
        <w:overflowPunct/>
        <w:topLinePunct w:val="0"/>
        <w:autoSpaceDE/>
        <w:autoSpaceDN/>
        <w:bidi w:val="0"/>
        <w:spacing w:line="500" w:lineRule="exact"/>
        <w:ind w:firstLine="1522" w:firstLineChars="692"/>
        <w:textAlignment w:val="auto"/>
        <w:rPr>
          <w:rFonts w:ascii="仿宋_GB2312" w:eastAsia="仿宋_GB2312"/>
          <w:sz w:val="22"/>
          <w:szCs w:val="22"/>
        </w:rPr>
      </w:pPr>
      <w:r>
        <w:rPr>
          <w:rFonts w:hint="eastAsia" w:ascii="仿宋_GB2312" w:eastAsia="仿宋_GB2312"/>
          <w:sz w:val="22"/>
          <w:szCs w:val="22"/>
        </w:rPr>
        <w:t>等，合同双方具有明确的权利、义务关系，合同具有法律效力。</w:t>
      </w:r>
    </w:p>
    <w:p>
      <w:pPr>
        <w:keepNext w:val="0"/>
        <w:keepLines w:val="0"/>
        <w:pageBreakBefore w:val="0"/>
        <w:widowControl w:val="0"/>
        <w:kinsoku/>
        <w:wordWrap/>
        <w:overflowPunct/>
        <w:topLinePunct w:val="0"/>
        <w:autoSpaceDE/>
        <w:autoSpaceDN/>
        <w:bidi w:val="0"/>
        <w:spacing w:line="500" w:lineRule="exact"/>
        <w:ind w:firstLine="1311" w:firstLineChars="596"/>
        <w:textAlignment w:val="auto"/>
        <w:rPr>
          <w:rFonts w:ascii="仿宋_GB2312" w:eastAsia="仿宋_GB2312"/>
          <w:sz w:val="22"/>
          <w:szCs w:val="22"/>
        </w:rPr>
      </w:pPr>
      <w:r>
        <w:rPr>
          <w:rFonts w:ascii="仿宋_GB2312" w:eastAsia="仿宋_GB2312"/>
          <w:sz w:val="22"/>
          <w:szCs w:val="22"/>
        </w:rPr>
        <w:t>5.</w:t>
      </w:r>
      <w:r>
        <w:rPr>
          <w:rFonts w:hint="eastAsia" w:ascii="仿宋_GB2312" w:eastAsia="仿宋_GB2312"/>
          <w:sz w:val="22"/>
          <w:szCs w:val="22"/>
        </w:rPr>
        <w:t>合作方式按利润返还是指企业将农副产品加工、运输等增值的一部利润按</w:t>
      </w:r>
    </w:p>
    <w:p>
      <w:pPr>
        <w:keepNext w:val="0"/>
        <w:keepLines w:val="0"/>
        <w:pageBreakBefore w:val="0"/>
        <w:widowControl w:val="0"/>
        <w:kinsoku/>
        <w:wordWrap/>
        <w:overflowPunct/>
        <w:topLinePunct w:val="0"/>
        <w:autoSpaceDE/>
        <w:autoSpaceDN/>
        <w:bidi w:val="0"/>
        <w:spacing w:line="500" w:lineRule="exact"/>
        <w:ind w:firstLine="1526" w:firstLineChars="694"/>
        <w:textAlignment w:val="auto"/>
        <w:rPr>
          <w:rFonts w:ascii="仿宋_GB2312" w:eastAsia="仿宋_GB2312"/>
          <w:sz w:val="22"/>
          <w:szCs w:val="22"/>
        </w:rPr>
      </w:pPr>
      <w:r>
        <w:rPr>
          <w:rFonts w:hint="eastAsia" w:ascii="仿宋_GB2312" w:eastAsia="仿宋_GB2312"/>
          <w:sz w:val="22"/>
          <w:szCs w:val="22"/>
        </w:rPr>
        <w:t>一定的方式（如按交易量）返还给农户</w:t>
      </w:r>
      <w:r>
        <w:rPr>
          <w:rFonts w:ascii="仿宋_GB2312" w:eastAsia="仿宋_GB2312"/>
          <w:sz w:val="22"/>
          <w:szCs w:val="22"/>
        </w:rPr>
        <w:t>,</w:t>
      </w:r>
      <w:r>
        <w:rPr>
          <w:rFonts w:hint="eastAsia" w:ascii="仿宋_GB2312" w:eastAsia="仿宋_GB2312"/>
          <w:sz w:val="22"/>
          <w:szCs w:val="22"/>
        </w:rPr>
        <w:t>也包括实行二次分配。</w:t>
      </w:r>
    </w:p>
    <w:p>
      <w:pPr>
        <w:keepNext w:val="0"/>
        <w:keepLines w:val="0"/>
        <w:pageBreakBefore w:val="0"/>
        <w:widowControl w:val="0"/>
        <w:kinsoku/>
        <w:wordWrap/>
        <w:overflowPunct/>
        <w:topLinePunct w:val="0"/>
        <w:autoSpaceDE/>
        <w:autoSpaceDN/>
        <w:bidi w:val="0"/>
        <w:spacing w:line="500" w:lineRule="exact"/>
        <w:ind w:firstLine="1311" w:firstLineChars="596"/>
        <w:textAlignment w:val="auto"/>
        <w:rPr>
          <w:rFonts w:ascii="仿宋_GB2312" w:eastAsia="仿宋_GB2312"/>
          <w:sz w:val="22"/>
          <w:szCs w:val="22"/>
        </w:rPr>
      </w:pPr>
      <w:r>
        <w:rPr>
          <w:rFonts w:ascii="仿宋_GB2312" w:eastAsia="仿宋_GB2312"/>
          <w:sz w:val="22"/>
          <w:szCs w:val="22"/>
        </w:rPr>
        <w:t>6.</w:t>
      </w:r>
      <w:r>
        <w:rPr>
          <w:rFonts w:hint="eastAsia" w:ascii="仿宋_GB2312" w:eastAsia="仿宋_GB2312"/>
          <w:sz w:val="22"/>
          <w:szCs w:val="22"/>
        </w:rPr>
        <w:t>股份合作方式按股份分红是指按股金比例进行利润分红。</w:t>
      </w:r>
    </w:p>
    <w:p>
      <w:pPr>
        <w:keepNext w:val="0"/>
        <w:keepLines w:val="0"/>
        <w:pageBreakBefore w:val="0"/>
        <w:widowControl w:val="0"/>
        <w:kinsoku/>
        <w:wordWrap/>
        <w:overflowPunct/>
        <w:topLinePunct w:val="0"/>
        <w:autoSpaceDE/>
        <w:autoSpaceDN/>
        <w:bidi w:val="0"/>
        <w:spacing w:line="500" w:lineRule="exact"/>
        <w:ind w:firstLine="1311" w:firstLineChars="596"/>
        <w:textAlignment w:val="auto"/>
        <w:rPr>
          <w:rFonts w:ascii="仿宋_GB2312" w:eastAsia="仿宋_GB2312"/>
          <w:sz w:val="22"/>
          <w:szCs w:val="22"/>
        </w:rPr>
      </w:pPr>
      <w:r>
        <w:rPr>
          <w:rFonts w:ascii="仿宋_GB2312" w:eastAsia="仿宋_GB2312"/>
          <w:sz w:val="22"/>
          <w:szCs w:val="22"/>
        </w:rPr>
        <w:t>7.</w:t>
      </w:r>
      <w:r>
        <w:rPr>
          <w:rFonts w:hint="eastAsia" w:ascii="仿宋_GB2312" w:eastAsia="仿宋_GB2312"/>
          <w:sz w:val="22"/>
          <w:szCs w:val="22"/>
        </w:rPr>
        <w:t>带动农户增收是指带动的农户比从事其他生产或不参加产业化生</w:t>
      </w:r>
    </w:p>
    <w:p>
      <w:pPr>
        <w:keepNext w:val="0"/>
        <w:keepLines w:val="0"/>
        <w:pageBreakBefore w:val="0"/>
        <w:widowControl w:val="0"/>
        <w:kinsoku/>
        <w:wordWrap/>
        <w:overflowPunct/>
        <w:topLinePunct w:val="0"/>
        <w:autoSpaceDE/>
        <w:autoSpaceDN/>
        <w:bidi w:val="0"/>
        <w:spacing w:line="500" w:lineRule="exact"/>
        <w:ind w:firstLine="1531" w:firstLineChars="696"/>
        <w:textAlignment w:val="auto"/>
        <w:rPr>
          <w:rFonts w:ascii="仿宋_GB2312" w:eastAsia="仿宋_GB2312"/>
          <w:sz w:val="22"/>
          <w:szCs w:val="22"/>
        </w:rPr>
      </w:pPr>
      <w:r>
        <w:rPr>
          <w:rFonts w:hint="eastAsia" w:ascii="仿宋_GB2312" w:eastAsia="仿宋_GB2312"/>
          <w:sz w:val="22"/>
          <w:szCs w:val="22"/>
        </w:rPr>
        <w:t>产当年多增加的收入。</w:t>
      </w:r>
    </w:p>
    <w:p>
      <w:pPr>
        <w:keepNext w:val="0"/>
        <w:keepLines w:val="0"/>
        <w:pageBreakBefore w:val="0"/>
        <w:widowControl w:val="0"/>
        <w:kinsoku/>
        <w:wordWrap/>
        <w:overflowPunct/>
        <w:topLinePunct w:val="0"/>
        <w:autoSpaceDE/>
        <w:autoSpaceDN/>
        <w:bidi w:val="0"/>
        <w:adjustRightInd w:val="0"/>
        <w:snapToGrid w:val="0"/>
        <w:spacing w:line="500" w:lineRule="exact"/>
        <w:ind w:firstLine="220" w:firstLineChars="100"/>
        <w:textAlignment w:val="auto"/>
        <w:rPr>
          <w:rFonts w:ascii="仿宋_GB2312" w:hAnsi="仿宋_GB2312" w:eastAsia="仿宋_GB2312" w:cs="仿宋_GB2312"/>
          <w:snapToGrid w:val="0"/>
          <w:kern w:val="0"/>
          <w:szCs w:val="32"/>
        </w:rPr>
      </w:pPr>
      <w:r>
        <w:rPr>
          <w:rFonts w:hint="eastAsia" w:ascii="仿宋_GB2312" w:eastAsia="仿宋_GB2312"/>
          <w:sz w:val="22"/>
          <w:szCs w:val="22"/>
        </w:rPr>
        <w:t>注：表内平衡关系</w:t>
      </w:r>
      <w:r>
        <w:rPr>
          <w:rFonts w:ascii="仿宋_GB2312" w:hAnsi="宋体" w:eastAsia="仿宋_GB2312"/>
          <w:sz w:val="22"/>
          <w:szCs w:val="22"/>
        </w:rPr>
        <w:t>22=23+24+25+26</w:t>
      </w:r>
      <w:r>
        <w:rPr>
          <w:rFonts w:hint="eastAsia" w:ascii="仿宋_GB2312" w:hAnsi="宋体" w:eastAsia="仿宋_GB2312"/>
          <w:sz w:val="22"/>
          <w:szCs w:val="22"/>
        </w:rPr>
        <w:t>，</w:t>
      </w:r>
      <w:r>
        <w:rPr>
          <w:rFonts w:ascii="仿宋_GB2312" w:hAnsi="宋体" w:eastAsia="仿宋_GB2312"/>
          <w:sz w:val="22"/>
          <w:szCs w:val="22"/>
        </w:rPr>
        <w:t>28=27/22</w:t>
      </w:r>
      <w:r>
        <w:rPr>
          <w:rFonts w:hint="eastAsia" w:ascii="仿宋_GB2312" w:hAnsi="宋体" w:eastAsia="仿宋_GB2312"/>
          <w:sz w:val="22"/>
          <w:szCs w:val="22"/>
        </w:rPr>
        <w:t>×</w:t>
      </w:r>
      <w:r>
        <w:rPr>
          <w:rFonts w:ascii="仿宋_GB2312" w:hAnsi="宋体" w:eastAsia="仿宋_GB2312"/>
          <w:sz w:val="22"/>
          <w:szCs w:val="22"/>
        </w:rPr>
        <w:t>10000</w:t>
      </w:r>
      <w:r>
        <w:rPr>
          <w:rFonts w:hint="eastAsia" w:ascii="仿宋_GB2312" w:hAnsi="宋体" w:eastAsia="仿宋_GB2312"/>
          <w:sz w:val="22"/>
          <w:szCs w:val="22"/>
        </w:rPr>
        <w:t>。</w:t>
      </w:r>
    </w:p>
    <w:p>
      <w:pPr>
        <w:adjustRightInd w:val="0"/>
        <w:snapToGrid w:val="0"/>
        <w:spacing w:line="590" w:lineRule="exact"/>
        <w:rPr>
          <w:rFonts w:ascii="黑体" w:hAnsi="黑体" w:eastAsia="黑体" w:cs="黑体"/>
          <w:snapToGrid w:val="0"/>
          <w:kern w:val="0"/>
          <w:szCs w:val="32"/>
        </w:rPr>
        <w:sectPr>
          <w:pgSz w:w="11906" w:h="16838"/>
          <w:pgMar w:top="1928" w:right="1304" w:bottom="1871" w:left="1304" w:header="851" w:footer="1417" w:gutter="0"/>
          <w:pgNumType w:fmt="numberInDash"/>
          <w:cols w:space="0" w:num="1"/>
          <w:docGrid w:type="lines" w:linePitch="595" w:charSpace="0"/>
        </w:sectPr>
      </w:pPr>
    </w:p>
    <w:p>
      <w:pPr>
        <w:adjustRightInd w:val="0"/>
        <w:snapToGrid w:val="0"/>
        <w:spacing w:line="590" w:lineRule="exact"/>
        <w:rPr>
          <w:rFonts w:ascii="黑体" w:hAnsi="仿宋_GB2312" w:eastAsia="黑体" w:cs="仿宋_GB2312"/>
          <w:snapToGrid w:val="0"/>
          <w:kern w:val="0"/>
          <w:sz w:val="32"/>
          <w:szCs w:val="32"/>
        </w:rPr>
      </w:pPr>
      <w:r>
        <w:rPr>
          <w:rFonts w:hint="eastAsia" w:ascii="黑体" w:hAnsi="仿宋_GB2312" w:eastAsia="黑体" w:cs="仿宋_GB2312"/>
          <w:snapToGrid w:val="0"/>
          <w:kern w:val="0"/>
          <w:sz w:val="32"/>
          <w:szCs w:val="32"/>
          <w:highlight w:val="none"/>
        </w:rPr>
        <w:t>附件</w:t>
      </w:r>
      <w:r>
        <w:rPr>
          <w:rFonts w:hint="eastAsia" w:ascii="黑体" w:hAnsi="仿宋_GB2312" w:eastAsia="黑体" w:cs="仿宋_GB2312"/>
          <w:snapToGrid w:val="0"/>
          <w:kern w:val="0"/>
          <w:sz w:val="32"/>
          <w:szCs w:val="32"/>
          <w:highlight w:val="none"/>
          <w:lang w:val="en-US" w:eastAsia="zh-CN"/>
        </w:rPr>
        <w:t>2</w:t>
      </w:r>
      <w:r>
        <w:rPr>
          <w:rFonts w:hint="eastAsia" w:ascii="黑体" w:hAnsi="仿宋_GB2312" w:eastAsia="黑体" w:cs="仿宋_GB2312"/>
          <w:snapToGrid w:val="0"/>
          <w:kern w:val="0"/>
          <w:sz w:val="32"/>
          <w:szCs w:val="32"/>
          <w:highlight w:val="none"/>
        </w:rPr>
        <w:t>：</w:t>
      </w:r>
    </w:p>
    <w:p>
      <w:pPr>
        <w:adjustRightInd w:val="0"/>
        <w:snapToGrid w:val="0"/>
        <w:spacing w:line="590" w:lineRule="exact"/>
        <w:rPr>
          <w:rFonts w:ascii="黑体" w:hAnsi="仿宋_GB2312" w:eastAsia="黑体" w:cs="仿宋_GB2312"/>
          <w:snapToGrid w:val="0"/>
          <w:kern w:val="0"/>
          <w:sz w:val="32"/>
          <w:szCs w:val="32"/>
        </w:rPr>
      </w:pPr>
    </w:p>
    <w:p>
      <w:pPr>
        <w:jc w:val="center"/>
        <w:rPr>
          <w:rFonts w:ascii="宋体" w:cs="宋体"/>
          <w:bCs/>
          <w:color w:val="000000"/>
          <w:sz w:val="28"/>
          <w:szCs w:val="28"/>
          <w:shd w:val="clear" w:color="auto" w:fill="FFFFFF"/>
        </w:rPr>
      </w:pPr>
      <w:r>
        <w:rPr>
          <w:rFonts w:hint="eastAsia" w:ascii="方正小标宋简体" w:hAnsi="方正小标宋简体" w:eastAsia="方正小标宋简体" w:cs="方正小标宋简体"/>
          <w:b w:val="0"/>
          <w:bCs/>
          <w:sz w:val="44"/>
          <w:szCs w:val="44"/>
          <w:lang w:eastAsia="zh-CN"/>
        </w:rPr>
        <w:t>遂溪县</w:t>
      </w:r>
      <w:r>
        <w:rPr>
          <w:rFonts w:hint="eastAsia" w:ascii="方正小标宋简体" w:hAnsi="方正小标宋简体" w:eastAsia="方正小标宋简体" w:cs="方正小标宋简体"/>
          <w:b w:val="0"/>
          <w:bCs/>
          <w:sz w:val="44"/>
          <w:szCs w:val="44"/>
        </w:rPr>
        <w:t>重点农业龙头企业</w:t>
      </w:r>
      <w:r>
        <w:rPr>
          <w:rFonts w:hint="eastAsia" w:ascii="方正小标宋简体" w:hAnsi="方正小标宋简体" w:eastAsia="方正小标宋简体" w:cs="方正小标宋简体"/>
          <w:b w:val="0"/>
          <w:bCs/>
          <w:color w:val="000000"/>
          <w:sz w:val="44"/>
          <w:szCs w:val="44"/>
          <w:shd w:val="clear" w:color="auto" w:fill="FFFFFF"/>
        </w:rPr>
        <w:t>带动农户名册</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bCs/>
          <w:color w:val="000000"/>
          <w:sz w:val="28"/>
          <w:szCs w:val="28"/>
          <w:shd w:val="clear" w:color="auto" w:fill="FFFFFF"/>
        </w:rPr>
      </w:pPr>
    </w:p>
    <w:p>
      <w:pPr>
        <w:jc w:val="left"/>
        <w:rPr>
          <w:rFonts w:hint="eastAsia"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填报单位（盖章）：</w:t>
      </w:r>
    </w:p>
    <w:tbl>
      <w:tblPr>
        <w:tblStyle w:val="8"/>
        <w:tblW w:w="87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1395"/>
        <w:gridCol w:w="3090"/>
        <w:gridCol w:w="1917"/>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trPr>
        <w:tc>
          <w:tcPr>
            <w:tcW w:w="961"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号</w:t>
            </w:r>
          </w:p>
        </w:tc>
        <w:tc>
          <w:tcPr>
            <w:tcW w:w="1395"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 名</w:t>
            </w:r>
          </w:p>
        </w:tc>
        <w:tc>
          <w:tcPr>
            <w:tcW w:w="309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shd w:val="clear" w:color="auto" w:fill="FFFFFF"/>
              </w:rPr>
              <w:t>住    址</w:t>
            </w:r>
          </w:p>
        </w:tc>
        <w:tc>
          <w:tcPr>
            <w:tcW w:w="1917"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shd w:val="clear" w:color="auto" w:fill="FFFFFF"/>
              </w:rPr>
              <w:t>联系电话</w:t>
            </w:r>
          </w:p>
        </w:tc>
        <w:tc>
          <w:tcPr>
            <w:tcW w:w="1398"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50"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41"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24" w:hRule="atLeast"/>
        </w:trPr>
        <w:tc>
          <w:tcPr>
            <w:tcW w:w="961" w:type="dxa"/>
          </w:tcPr>
          <w:p>
            <w:pPr>
              <w:rPr>
                <w:rFonts w:hint="eastAsia" w:ascii="仿宋_GB2312" w:hAnsi="仿宋_GB2312" w:eastAsia="仿宋_GB2312" w:cs="仿宋_GB2312"/>
              </w:rPr>
            </w:pPr>
          </w:p>
        </w:tc>
        <w:tc>
          <w:tcPr>
            <w:tcW w:w="1395" w:type="dxa"/>
          </w:tcPr>
          <w:p>
            <w:pPr>
              <w:rPr>
                <w:rFonts w:hint="eastAsia" w:ascii="仿宋_GB2312" w:hAnsi="仿宋_GB2312" w:eastAsia="仿宋_GB2312" w:cs="仿宋_GB2312"/>
              </w:rPr>
            </w:pPr>
          </w:p>
        </w:tc>
        <w:tc>
          <w:tcPr>
            <w:tcW w:w="3090" w:type="dxa"/>
          </w:tcPr>
          <w:p>
            <w:pPr>
              <w:rPr>
                <w:rFonts w:hint="eastAsia" w:ascii="仿宋_GB2312" w:hAnsi="仿宋_GB2312" w:eastAsia="仿宋_GB2312" w:cs="仿宋_GB2312"/>
              </w:rPr>
            </w:pPr>
          </w:p>
        </w:tc>
        <w:tc>
          <w:tcPr>
            <w:tcW w:w="1917" w:type="dxa"/>
          </w:tcPr>
          <w:p>
            <w:pPr>
              <w:rPr>
                <w:rFonts w:hint="eastAsia" w:ascii="仿宋_GB2312" w:hAnsi="仿宋_GB2312" w:eastAsia="仿宋_GB2312" w:cs="仿宋_GB2312"/>
              </w:rPr>
            </w:pPr>
          </w:p>
        </w:tc>
        <w:tc>
          <w:tcPr>
            <w:tcW w:w="1398" w:type="dxa"/>
          </w:tcPr>
          <w:p>
            <w:pPr>
              <w:rPr>
                <w:rFonts w:hint="eastAsia" w:ascii="仿宋_GB2312" w:hAnsi="仿宋_GB2312" w:eastAsia="仿宋_GB2312" w:cs="仿宋_GB2312"/>
              </w:rPr>
            </w:pPr>
          </w:p>
        </w:tc>
      </w:tr>
    </w:tbl>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B971870"/>
    <w:rsid w:val="00042399"/>
    <w:rsid w:val="00053692"/>
    <w:rsid w:val="00077B6F"/>
    <w:rsid w:val="00086F9C"/>
    <w:rsid w:val="000C37D6"/>
    <w:rsid w:val="00137617"/>
    <w:rsid w:val="00141BB8"/>
    <w:rsid w:val="00154733"/>
    <w:rsid w:val="00163FE8"/>
    <w:rsid w:val="00164F20"/>
    <w:rsid w:val="00167392"/>
    <w:rsid w:val="00171897"/>
    <w:rsid w:val="00177697"/>
    <w:rsid w:val="00181B1A"/>
    <w:rsid w:val="00183A4F"/>
    <w:rsid w:val="001B3BB0"/>
    <w:rsid w:val="001B6943"/>
    <w:rsid w:val="002120AF"/>
    <w:rsid w:val="00221304"/>
    <w:rsid w:val="00223925"/>
    <w:rsid w:val="002444ED"/>
    <w:rsid w:val="00266E39"/>
    <w:rsid w:val="00270F9A"/>
    <w:rsid w:val="002848F0"/>
    <w:rsid w:val="0029192C"/>
    <w:rsid w:val="002A6C61"/>
    <w:rsid w:val="002C38C5"/>
    <w:rsid w:val="002E38B9"/>
    <w:rsid w:val="0032100F"/>
    <w:rsid w:val="00336978"/>
    <w:rsid w:val="00337685"/>
    <w:rsid w:val="003448E1"/>
    <w:rsid w:val="00345F4D"/>
    <w:rsid w:val="00385149"/>
    <w:rsid w:val="003C03B6"/>
    <w:rsid w:val="00432F87"/>
    <w:rsid w:val="004620BA"/>
    <w:rsid w:val="00466011"/>
    <w:rsid w:val="004A096B"/>
    <w:rsid w:val="00501980"/>
    <w:rsid w:val="005328CE"/>
    <w:rsid w:val="00537C48"/>
    <w:rsid w:val="005770E1"/>
    <w:rsid w:val="005D6396"/>
    <w:rsid w:val="005E56FD"/>
    <w:rsid w:val="00602F3A"/>
    <w:rsid w:val="00631A2C"/>
    <w:rsid w:val="006338E7"/>
    <w:rsid w:val="0064522C"/>
    <w:rsid w:val="00682CDF"/>
    <w:rsid w:val="00683689"/>
    <w:rsid w:val="00696C43"/>
    <w:rsid w:val="006A63C7"/>
    <w:rsid w:val="006C486B"/>
    <w:rsid w:val="006D49BE"/>
    <w:rsid w:val="006E60D4"/>
    <w:rsid w:val="0071030F"/>
    <w:rsid w:val="0071398F"/>
    <w:rsid w:val="00723104"/>
    <w:rsid w:val="007372B1"/>
    <w:rsid w:val="00746078"/>
    <w:rsid w:val="00747C6B"/>
    <w:rsid w:val="00776B92"/>
    <w:rsid w:val="00787986"/>
    <w:rsid w:val="00792A6E"/>
    <w:rsid w:val="007B3318"/>
    <w:rsid w:val="007E4BCC"/>
    <w:rsid w:val="007E7263"/>
    <w:rsid w:val="007F18AB"/>
    <w:rsid w:val="00805852"/>
    <w:rsid w:val="008630C8"/>
    <w:rsid w:val="00885703"/>
    <w:rsid w:val="0090173A"/>
    <w:rsid w:val="0090218A"/>
    <w:rsid w:val="009209A8"/>
    <w:rsid w:val="0098360E"/>
    <w:rsid w:val="009B73BC"/>
    <w:rsid w:val="009C536B"/>
    <w:rsid w:val="009D08C5"/>
    <w:rsid w:val="009D5531"/>
    <w:rsid w:val="00A2667F"/>
    <w:rsid w:val="00A52E68"/>
    <w:rsid w:val="00A8078F"/>
    <w:rsid w:val="00AB07CA"/>
    <w:rsid w:val="00AC4FB6"/>
    <w:rsid w:val="00B02606"/>
    <w:rsid w:val="00B2334F"/>
    <w:rsid w:val="00B4147E"/>
    <w:rsid w:val="00B45B48"/>
    <w:rsid w:val="00B93E35"/>
    <w:rsid w:val="00BA27B8"/>
    <w:rsid w:val="00BB5D6E"/>
    <w:rsid w:val="00BC16EA"/>
    <w:rsid w:val="00C02D19"/>
    <w:rsid w:val="00C302B8"/>
    <w:rsid w:val="00C72A38"/>
    <w:rsid w:val="00CD5E49"/>
    <w:rsid w:val="00CF6AF3"/>
    <w:rsid w:val="00D0146E"/>
    <w:rsid w:val="00D13B6C"/>
    <w:rsid w:val="00D177BD"/>
    <w:rsid w:val="00D9586C"/>
    <w:rsid w:val="00DB3793"/>
    <w:rsid w:val="00DC2D0D"/>
    <w:rsid w:val="00DC6815"/>
    <w:rsid w:val="00E27670"/>
    <w:rsid w:val="00E34C89"/>
    <w:rsid w:val="00E65F74"/>
    <w:rsid w:val="00E67FB4"/>
    <w:rsid w:val="00E74683"/>
    <w:rsid w:val="00EF6CAA"/>
    <w:rsid w:val="00F2390F"/>
    <w:rsid w:val="00F31A8E"/>
    <w:rsid w:val="00FD4F64"/>
    <w:rsid w:val="021D0C6C"/>
    <w:rsid w:val="02803628"/>
    <w:rsid w:val="0B7767B3"/>
    <w:rsid w:val="0D594FCF"/>
    <w:rsid w:val="0E9C62BE"/>
    <w:rsid w:val="12F05748"/>
    <w:rsid w:val="13E66274"/>
    <w:rsid w:val="16320683"/>
    <w:rsid w:val="1B232CA5"/>
    <w:rsid w:val="1E7E1D11"/>
    <w:rsid w:val="1EB254B1"/>
    <w:rsid w:val="1FAA50D8"/>
    <w:rsid w:val="226062CD"/>
    <w:rsid w:val="22F729AD"/>
    <w:rsid w:val="2AF506CF"/>
    <w:rsid w:val="2F5310EB"/>
    <w:rsid w:val="31E23E68"/>
    <w:rsid w:val="322A79A4"/>
    <w:rsid w:val="328C4D8F"/>
    <w:rsid w:val="33013DAD"/>
    <w:rsid w:val="35FA54CC"/>
    <w:rsid w:val="371F668F"/>
    <w:rsid w:val="38353991"/>
    <w:rsid w:val="39CE3A49"/>
    <w:rsid w:val="3D45614B"/>
    <w:rsid w:val="3E1522EF"/>
    <w:rsid w:val="3FEF4429"/>
    <w:rsid w:val="4141411F"/>
    <w:rsid w:val="4674199E"/>
    <w:rsid w:val="49281031"/>
    <w:rsid w:val="497A3F83"/>
    <w:rsid w:val="4D292BAC"/>
    <w:rsid w:val="4EC118EC"/>
    <w:rsid w:val="4F2C38EE"/>
    <w:rsid w:val="52010602"/>
    <w:rsid w:val="54FF1184"/>
    <w:rsid w:val="58C86ADC"/>
    <w:rsid w:val="5B971870"/>
    <w:rsid w:val="5D26413E"/>
    <w:rsid w:val="629A6AFC"/>
    <w:rsid w:val="646D4590"/>
    <w:rsid w:val="659C1403"/>
    <w:rsid w:val="673300B4"/>
    <w:rsid w:val="6760356B"/>
    <w:rsid w:val="67FE5D7D"/>
    <w:rsid w:val="69E50575"/>
    <w:rsid w:val="6AAD6AD0"/>
    <w:rsid w:val="6AD22089"/>
    <w:rsid w:val="6B3C2436"/>
    <w:rsid w:val="6BCB45E8"/>
    <w:rsid w:val="6D0B4FE0"/>
    <w:rsid w:val="6DA11D96"/>
    <w:rsid w:val="6E3F6A98"/>
    <w:rsid w:val="70D816FF"/>
    <w:rsid w:val="72B7398B"/>
    <w:rsid w:val="73F11680"/>
    <w:rsid w:val="755C397C"/>
    <w:rsid w:val="756306C5"/>
    <w:rsid w:val="76C90E29"/>
    <w:rsid w:val="7BCE09CF"/>
    <w:rsid w:val="7D0E75C5"/>
    <w:rsid w:val="7DAC08EE"/>
    <w:rsid w:val="7EB066F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Plain Text"/>
    <w:basedOn w:val="1"/>
    <w:link w:val="14"/>
    <w:qFormat/>
    <w:uiPriority w:val="0"/>
    <w:pPr>
      <w:widowControl/>
      <w:spacing w:before="100" w:beforeAutospacing="1" w:after="100" w:afterAutospacing="1"/>
      <w:jc w:val="left"/>
    </w:pPr>
    <w:rPr>
      <w:rFonts w:ascii="宋体" w:hAnsi="宋体"/>
      <w:kern w:val="0"/>
      <w:sz w:val="24"/>
    </w:rPr>
  </w:style>
  <w:style w:type="paragraph" w:styleId="3">
    <w:name w:val="footer"/>
    <w:basedOn w:val="1"/>
    <w:link w:val="9"/>
    <w:qFormat/>
    <w:uiPriority w:val="99"/>
    <w:pPr>
      <w:tabs>
        <w:tab w:val="center" w:pos="4153"/>
        <w:tab w:val="right" w:pos="8306"/>
      </w:tabs>
      <w:snapToGrid w:val="0"/>
      <w:jc w:val="left"/>
    </w:pPr>
    <w:rPr>
      <w:kern w:val="0"/>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kern w:val="0"/>
      <w:sz w:val="24"/>
    </w:rPr>
  </w:style>
  <w:style w:type="character" w:styleId="7">
    <w:name w:val="page number"/>
    <w:qFormat/>
    <w:uiPriority w:val="99"/>
    <w:rPr>
      <w:rFonts w:cs="Times New Roman"/>
    </w:rPr>
  </w:style>
  <w:style w:type="character" w:customStyle="1" w:styleId="9">
    <w:name w:val="页脚 Char"/>
    <w:link w:val="3"/>
    <w:semiHidden/>
    <w:qFormat/>
    <w:locked/>
    <w:uiPriority w:val="99"/>
    <w:rPr>
      <w:rFonts w:ascii="Times New Roman" w:hAnsi="Times New Roman" w:cs="Times New Roman"/>
      <w:sz w:val="18"/>
      <w:szCs w:val="18"/>
    </w:rPr>
  </w:style>
  <w:style w:type="character" w:customStyle="1" w:styleId="10">
    <w:name w:val="页眉 Char"/>
    <w:link w:val="4"/>
    <w:qFormat/>
    <w:locked/>
    <w:uiPriority w:val="99"/>
    <w:rPr>
      <w:rFonts w:ascii="Times New Roman" w:hAnsi="Times New Roman" w:eastAsia="宋体" w:cs="Times New Roman"/>
      <w:kern w:val="2"/>
      <w:sz w:val="18"/>
      <w:szCs w:val="18"/>
    </w:rPr>
  </w:style>
  <w:style w:type="paragraph" w:customStyle="1" w:styleId="11">
    <w:name w:val="p15"/>
    <w:basedOn w:val="1"/>
    <w:qFormat/>
    <w:uiPriority w:val="99"/>
    <w:pPr>
      <w:widowControl/>
    </w:pPr>
    <w:rPr>
      <w:kern w:val="0"/>
      <w:szCs w:val="21"/>
    </w:rPr>
  </w:style>
  <w:style w:type="paragraph" w:customStyle="1" w:styleId="12">
    <w:name w:val="p0"/>
    <w:basedOn w:val="1"/>
    <w:qFormat/>
    <w:uiPriority w:val="99"/>
    <w:pPr>
      <w:widowControl/>
    </w:pPr>
    <w:rPr>
      <w:kern w:val="0"/>
      <w:szCs w:val="21"/>
    </w:rPr>
  </w:style>
  <w:style w:type="paragraph" w:customStyle="1" w:styleId="13">
    <w:name w:val="p16"/>
    <w:basedOn w:val="1"/>
    <w:qFormat/>
    <w:uiPriority w:val="99"/>
    <w:pPr>
      <w:widowControl/>
    </w:pPr>
    <w:rPr>
      <w:kern w:val="0"/>
      <w:szCs w:val="21"/>
    </w:rPr>
  </w:style>
  <w:style w:type="character" w:customStyle="1" w:styleId="14">
    <w:name w:val="纯文本 Char"/>
    <w:link w:val="2"/>
    <w:qFormat/>
    <w:uiPriority w:val="0"/>
    <w:rPr>
      <w:rFonts w:ascii="宋体" w:hAnsi="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941</Words>
  <Characters>5366</Characters>
  <Lines>44</Lines>
  <Paragraphs>12</Paragraphs>
  <ScaleCrop>false</ScaleCrop>
  <LinksUpToDate>false</LinksUpToDate>
  <CharactersWithSpaces>6295</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2016-06-23T07:45:00Z</dcterms:created>
  <dc:creator>陈珠</dc:creator>
  <cp:lastModifiedBy>Administrator</cp:lastModifiedBy>
  <cp:lastPrinted>2021-09-16T06:55:51Z</cp:lastPrinted>
  <dcterms:modified xsi:type="dcterms:W3CDTF">2021-09-16T06:56:10Z</dcterms:modified>
  <dc:title>湛农通〔2016〕187号</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