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  <w:lang w:val="en-US" w:eastAsia="zh-CN"/>
        </w:rPr>
      </w:pPr>
    </w:p>
    <w:p>
      <w:pPr>
        <w:ind w:firstLine="3600" w:firstLineChars="1000"/>
        <w:rPr>
          <w:rFonts w:hint="eastAsia"/>
          <w:sz w:val="36"/>
          <w:szCs w:val="36"/>
          <w:lang w:val="en-US" w:eastAsia="zh-CN"/>
        </w:rPr>
      </w:pPr>
      <w:bookmarkStart w:id="22" w:name="_GoBack"/>
      <w:bookmarkEnd w:id="22"/>
      <w:r>
        <w:rPr>
          <w:rFonts w:hint="eastAsia"/>
          <w:sz w:val="36"/>
          <w:szCs w:val="36"/>
          <w:lang w:val="en-US" w:eastAsia="zh-CN"/>
        </w:rPr>
        <w:t>2022年城月镇部门三公经费情况说明</w:t>
      </w:r>
    </w:p>
    <w:p>
      <w:pPr>
        <w:rPr>
          <w:rFonts w:hint="eastAsia"/>
          <w:sz w:val="32"/>
          <w:szCs w:val="32"/>
          <w:lang w:val="en-US" w:eastAsia="zh-CN"/>
        </w:rPr>
      </w:pPr>
    </w:p>
    <w:p>
      <w:pPr>
        <w:ind w:firstLine="600" w:firstLineChars="200"/>
        <w:rPr>
          <w:rFonts w:hint="eastAsia" w:ascii="仿宋_GB2312" w:hAnsi="仿宋_GB2312" w:eastAsia="仿宋_GB2312" w:cs="仿宋_GB2312"/>
          <w:sz w:val="30"/>
          <w:szCs w:val="30"/>
        </w:rPr>
      </w:pPr>
      <w:r>
        <w:rPr>
          <w:rFonts w:hint="eastAsia" w:ascii="仿宋_GB2312" w:hAnsi="仿宋_GB2312" w:eastAsia="仿宋_GB2312" w:cs="仿宋_GB2312"/>
          <w:sz w:val="30"/>
          <w:szCs w:val="30"/>
          <w:lang w:val="en-US" w:eastAsia="zh-CN"/>
        </w:rPr>
        <w:t>2022</w:t>
      </w:r>
      <w:r>
        <w:rPr>
          <w:rFonts w:ascii="仿宋_GB2312" w:hAnsi="仿宋_GB2312" w:eastAsia="仿宋_GB2312" w:cs="仿宋_GB2312"/>
          <w:sz w:val="11"/>
          <w:szCs w:val="11"/>
        </w:rPr>
        <w:t xml:space="preserve"> </w:t>
      </w:r>
      <w:r>
        <w:rPr>
          <w:rFonts w:hint="eastAsia" w:ascii="仿宋_GB2312" w:hAnsi="仿宋_GB2312" w:eastAsia="仿宋_GB2312" w:cs="仿宋_GB2312"/>
          <w:sz w:val="30"/>
          <w:szCs w:val="30"/>
        </w:rPr>
        <w:t>年本部门财政拨款安排“三公”经费</w:t>
      </w:r>
      <w:bookmarkStart w:id="0" w:name="PO_part3A2Amount1"/>
      <w:r>
        <w:rPr>
          <w:rFonts w:hint="eastAsia" w:ascii="仿宋_GB2312" w:hAnsi="仿宋_GB2312" w:eastAsia="仿宋_GB2312" w:cs="仿宋_GB2312"/>
          <w:sz w:val="30"/>
          <w:szCs w:val="30"/>
          <w:lang w:val="en-US" w:eastAsia="zh-CN"/>
        </w:rPr>
        <w:t>17</w:t>
      </w:r>
      <w:r>
        <w:rPr>
          <w:rFonts w:ascii="仿宋_GB2312" w:hAnsi="仿宋_GB2312" w:eastAsia="仿宋_GB2312" w:cs="仿宋_GB2312"/>
          <w:sz w:val="11"/>
          <w:szCs w:val="11"/>
        </w:rPr>
        <w:t xml:space="preserve"> </w:t>
      </w:r>
      <w:bookmarkEnd w:id="0"/>
      <w:r>
        <w:rPr>
          <w:rFonts w:hint="eastAsia" w:ascii="仿宋_GB2312" w:hAnsi="仿宋_GB2312" w:eastAsia="仿宋_GB2312" w:cs="仿宋_GB2312"/>
          <w:sz w:val="30"/>
          <w:szCs w:val="30"/>
        </w:rPr>
        <w:t>万元，比上年</w:t>
      </w:r>
      <w:bookmarkStart w:id="1" w:name="PO_part3A2IncAmount1"/>
      <w:r>
        <w:rPr>
          <w:rFonts w:hint="eastAsia" w:ascii="仿宋_GB2312" w:hAnsi="仿宋_GB2312" w:eastAsia="仿宋_GB2312" w:cs="仿宋_GB2312"/>
          <w:sz w:val="30"/>
          <w:szCs w:val="30"/>
        </w:rPr>
        <w:t>增加</w:t>
      </w:r>
      <w:r>
        <w:rPr>
          <w:rFonts w:hint="eastAsia" w:ascii="仿宋_GB2312" w:hAnsi="仿宋_GB2312" w:eastAsia="仿宋_GB2312" w:cs="仿宋_GB2312"/>
          <w:sz w:val="30"/>
          <w:szCs w:val="30"/>
          <w:lang w:val="en-US" w:eastAsia="zh-CN"/>
        </w:rPr>
        <w:t>0</w:t>
      </w:r>
      <w:r>
        <w:rPr>
          <w:rFonts w:ascii="仿宋_GB2312" w:hAnsi="仿宋_GB2312" w:eastAsia="仿宋_GB2312" w:cs="仿宋_GB2312"/>
          <w:sz w:val="11"/>
          <w:szCs w:val="11"/>
        </w:rPr>
        <w:t xml:space="preserve"> </w:t>
      </w:r>
      <w:bookmarkEnd w:id="1"/>
      <w:r>
        <w:rPr>
          <w:rFonts w:hint="eastAsia" w:ascii="仿宋_GB2312" w:hAnsi="仿宋_GB2312" w:eastAsia="仿宋_GB2312" w:cs="仿宋_GB2312"/>
          <w:sz w:val="30"/>
          <w:szCs w:val="30"/>
        </w:rPr>
        <w:t>万元，</w:t>
      </w:r>
      <w:bookmarkStart w:id="2" w:name="PO_part3A2IncPercent1"/>
      <w:r>
        <w:rPr>
          <w:rFonts w:hint="eastAsia" w:ascii="仿宋_GB2312" w:hAnsi="仿宋_GB2312" w:eastAsia="仿宋_GB2312" w:cs="仿宋_GB2312"/>
          <w:sz w:val="30"/>
          <w:szCs w:val="30"/>
        </w:rPr>
        <w:t>增长</w:t>
      </w:r>
      <w:r>
        <w:rPr>
          <w:rFonts w:hint="eastAsia" w:ascii="仿宋_GB2312" w:hAnsi="仿宋_GB2312" w:eastAsia="仿宋_GB2312" w:cs="仿宋_GB2312"/>
          <w:sz w:val="30"/>
          <w:szCs w:val="30"/>
          <w:lang w:val="en-US" w:eastAsia="zh-CN"/>
        </w:rPr>
        <w:t>0</w:t>
      </w:r>
      <w:r>
        <w:rPr>
          <w:rFonts w:ascii="仿宋_GB2312" w:hAnsi="仿宋_GB2312" w:eastAsia="仿宋_GB2312" w:cs="仿宋_GB2312"/>
          <w:sz w:val="11"/>
          <w:szCs w:val="11"/>
        </w:rPr>
        <w:t xml:space="preserve"> </w:t>
      </w:r>
      <w:bookmarkEnd w:id="2"/>
      <w:r>
        <w:rPr>
          <w:rFonts w:hint="eastAsia" w:ascii="仿宋_GB2312" w:hAnsi="仿宋_GB2312" w:eastAsia="仿宋_GB2312" w:cs="仿宋_GB2312"/>
          <w:sz w:val="30"/>
          <w:szCs w:val="30"/>
        </w:rPr>
        <w:t>%，主要原因是</w:t>
      </w:r>
      <w:bookmarkStart w:id="3" w:name="PO_part3A2IncReason1"/>
      <w:r>
        <w:rPr>
          <w:rFonts w:hint="eastAsia" w:ascii="仿宋_GB2312" w:hAnsi="仿宋_GB2312" w:eastAsia="仿宋_GB2312" w:cs="仿宋_GB2312"/>
          <w:sz w:val="30"/>
          <w:szCs w:val="30"/>
        </w:rPr>
        <w:t>与上年持平，无增减变化</w:t>
      </w:r>
      <w:r>
        <w:rPr>
          <w:rFonts w:ascii="仿宋_GB2312" w:hAnsi="仿宋_GB2312" w:eastAsia="仿宋_GB2312" w:cs="仿宋_GB2312"/>
          <w:sz w:val="11"/>
          <w:szCs w:val="11"/>
        </w:rPr>
        <w:t xml:space="preserve"> </w:t>
      </w:r>
      <w:bookmarkEnd w:id="3"/>
      <w:r>
        <w:rPr>
          <w:rFonts w:hint="eastAsia" w:ascii="仿宋_GB2312" w:hAnsi="仿宋_GB2312" w:eastAsia="仿宋_GB2312" w:cs="仿宋_GB2312"/>
          <w:sz w:val="30"/>
          <w:szCs w:val="30"/>
        </w:rPr>
        <w:t>。其中：因公出国（境）费</w:t>
      </w:r>
      <w:bookmarkStart w:id="4" w:name="PO_part3A2Amount2"/>
      <w:r>
        <w:rPr>
          <w:rFonts w:hint="eastAsia" w:ascii="仿宋_GB2312" w:hAnsi="仿宋_GB2312" w:eastAsia="仿宋_GB2312" w:cs="仿宋_GB2312"/>
          <w:sz w:val="30"/>
          <w:szCs w:val="30"/>
          <w:lang w:val="en-US" w:eastAsia="zh-CN"/>
        </w:rPr>
        <w:t>0</w:t>
      </w:r>
      <w:r>
        <w:rPr>
          <w:rFonts w:ascii="仿宋_GB2312" w:hAnsi="仿宋_GB2312" w:eastAsia="仿宋_GB2312" w:cs="仿宋_GB2312"/>
          <w:sz w:val="11"/>
          <w:szCs w:val="11"/>
        </w:rPr>
        <w:t xml:space="preserve"> </w:t>
      </w:r>
      <w:bookmarkEnd w:id="4"/>
      <w:r>
        <w:rPr>
          <w:rFonts w:hint="eastAsia" w:ascii="仿宋_GB2312" w:hAnsi="仿宋_GB2312" w:eastAsia="仿宋_GB2312" w:cs="仿宋_GB2312"/>
          <w:sz w:val="30"/>
          <w:szCs w:val="30"/>
        </w:rPr>
        <w:t>万元，比上年</w:t>
      </w:r>
      <w:bookmarkStart w:id="5" w:name="PO_part3A2IncAmount2"/>
      <w:r>
        <w:rPr>
          <w:rFonts w:hint="eastAsia" w:ascii="仿宋_GB2312" w:hAnsi="仿宋_GB2312" w:eastAsia="仿宋_GB2312" w:cs="仿宋_GB2312"/>
          <w:sz w:val="30"/>
          <w:szCs w:val="30"/>
        </w:rPr>
        <w:t>增加</w:t>
      </w:r>
      <w:r>
        <w:rPr>
          <w:rFonts w:hint="eastAsia" w:ascii="仿宋_GB2312" w:hAnsi="仿宋_GB2312" w:eastAsia="仿宋_GB2312" w:cs="仿宋_GB2312"/>
          <w:sz w:val="30"/>
          <w:szCs w:val="30"/>
          <w:lang w:val="en-US" w:eastAsia="zh-CN"/>
        </w:rPr>
        <w:t>0</w:t>
      </w:r>
      <w:r>
        <w:rPr>
          <w:rFonts w:ascii="仿宋_GB2312" w:hAnsi="仿宋_GB2312" w:eastAsia="仿宋_GB2312" w:cs="仿宋_GB2312"/>
          <w:sz w:val="11"/>
          <w:szCs w:val="11"/>
        </w:rPr>
        <w:t xml:space="preserve"> </w:t>
      </w:r>
      <w:bookmarkEnd w:id="5"/>
      <w:r>
        <w:rPr>
          <w:rFonts w:hint="eastAsia" w:ascii="仿宋_GB2312" w:hAnsi="仿宋_GB2312" w:eastAsia="仿宋_GB2312" w:cs="仿宋_GB2312"/>
          <w:sz w:val="30"/>
          <w:szCs w:val="30"/>
        </w:rPr>
        <w:t>万元，</w:t>
      </w:r>
      <w:bookmarkStart w:id="6" w:name="PO_part3A2IncPercent2"/>
      <w:r>
        <w:rPr>
          <w:rFonts w:hint="eastAsia" w:ascii="仿宋_GB2312" w:hAnsi="仿宋_GB2312" w:eastAsia="仿宋_GB2312" w:cs="仿宋_GB2312"/>
          <w:sz w:val="30"/>
          <w:szCs w:val="30"/>
        </w:rPr>
        <w:t>增长</w:t>
      </w:r>
      <w:r>
        <w:rPr>
          <w:rFonts w:hint="eastAsia" w:ascii="仿宋_GB2312" w:hAnsi="仿宋_GB2312" w:eastAsia="仿宋_GB2312" w:cs="仿宋_GB2312"/>
          <w:sz w:val="30"/>
          <w:szCs w:val="30"/>
          <w:lang w:val="en-US" w:eastAsia="zh-CN"/>
        </w:rPr>
        <w:t>0</w:t>
      </w:r>
      <w:r>
        <w:rPr>
          <w:rFonts w:ascii="仿宋_GB2312" w:hAnsi="仿宋_GB2312" w:eastAsia="仿宋_GB2312" w:cs="仿宋_GB2312"/>
          <w:sz w:val="11"/>
          <w:szCs w:val="11"/>
        </w:rPr>
        <w:t xml:space="preserve"> </w:t>
      </w:r>
      <w:bookmarkEnd w:id="6"/>
      <w:r>
        <w:rPr>
          <w:rFonts w:hint="eastAsia" w:ascii="仿宋_GB2312" w:hAnsi="仿宋_GB2312" w:eastAsia="仿宋_GB2312" w:cs="仿宋_GB2312"/>
          <w:sz w:val="30"/>
          <w:szCs w:val="30"/>
        </w:rPr>
        <w:t>%，主要原因是</w:t>
      </w:r>
      <w:bookmarkStart w:id="7" w:name="PO_part3A2IncReason2"/>
      <w:r>
        <w:rPr>
          <w:rFonts w:hint="eastAsia" w:ascii="仿宋_GB2312" w:hAnsi="仿宋_GB2312" w:eastAsia="仿宋_GB2312" w:cs="仿宋_GB2312"/>
          <w:sz w:val="30"/>
          <w:szCs w:val="30"/>
        </w:rPr>
        <w:t>与上年持平，无增减变化</w:t>
      </w:r>
      <w:r>
        <w:rPr>
          <w:rFonts w:hint="eastAsia" w:ascii="仿宋_GB2312" w:hAnsi="仿宋_GB2312" w:eastAsia="仿宋_GB2312" w:cs="仿宋_GB2312"/>
          <w:sz w:val="11"/>
          <w:szCs w:val="11"/>
        </w:rPr>
        <w:t xml:space="preserve"> </w:t>
      </w:r>
      <w:bookmarkEnd w:id="7"/>
      <w:r>
        <w:rPr>
          <w:rFonts w:hint="eastAsia" w:ascii="仿宋_GB2312" w:hAnsi="仿宋_GB2312" w:eastAsia="仿宋_GB2312" w:cs="仿宋_GB2312"/>
          <w:sz w:val="30"/>
          <w:szCs w:val="30"/>
        </w:rPr>
        <w:t>；公务用车购置及运行费</w:t>
      </w:r>
      <w:bookmarkStart w:id="8" w:name="PO_part3A2Amount3"/>
      <w:r>
        <w:rPr>
          <w:rFonts w:hint="eastAsia" w:ascii="仿宋_GB2312" w:hAnsi="仿宋_GB2312" w:eastAsia="仿宋_GB2312" w:cs="仿宋_GB2312"/>
          <w:sz w:val="30"/>
          <w:szCs w:val="30"/>
          <w:lang w:val="en-US" w:eastAsia="zh-CN"/>
        </w:rPr>
        <w:t>15</w:t>
      </w:r>
      <w:r>
        <w:rPr>
          <w:rFonts w:ascii="仿宋_GB2312" w:hAnsi="仿宋_GB2312" w:eastAsia="仿宋_GB2312" w:cs="仿宋_GB2312"/>
          <w:sz w:val="11"/>
          <w:szCs w:val="11"/>
        </w:rPr>
        <w:t xml:space="preserve"> </w:t>
      </w:r>
      <w:bookmarkEnd w:id="8"/>
      <w:r>
        <w:rPr>
          <w:rFonts w:hint="eastAsia" w:ascii="仿宋_GB2312" w:hAnsi="仿宋_GB2312" w:eastAsia="仿宋_GB2312" w:cs="仿宋_GB2312"/>
          <w:sz w:val="30"/>
          <w:szCs w:val="30"/>
        </w:rPr>
        <w:t>万元（公务用车购置费</w:t>
      </w:r>
      <w:bookmarkStart w:id="9" w:name="PO_part3A2Amount4"/>
      <w:r>
        <w:rPr>
          <w:rFonts w:hint="eastAsia" w:ascii="仿宋_GB2312" w:hAnsi="仿宋_GB2312" w:eastAsia="仿宋_GB2312" w:cs="仿宋_GB2312"/>
          <w:sz w:val="30"/>
          <w:szCs w:val="30"/>
          <w:lang w:val="en-US" w:eastAsia="zh-CN"/>
        </w:rPr>
        <w:t>0</w:t>
      </w:r>
      <w:r>
        <w:rPr>
          <w:rFonts w:ascii="仿宋_GB2312" w:hAnsi="仿宋_GB2312" w:eastAsia="仿宋_GB2312" w:cs="仿宋_GB2312"/>
          <w:sz w:val="11"/>
          <w:szCs w:val="11"/>
        </w:rPr>
        <w:t xml:space="preserve"> </w:t>
      </w:r>
      <w:bookmarkEnd w:id="9"/>
      <w:r>
        <w:rPr>
          <w:rFonts w:hint="eastAsia" w:ascii="仿宋_GB2312" w:hAnsi="仿宋_GB2312" w:eastAsia="仿宋_GB2312" w:cs="仿宋_GB2312"/>
          <w:sz w:val="30"/>
          <w:szCs w:val="30"/>
        </w:rPr>
        <w:t>万元，比</w:t>
      </w:r>
      <w:r>
        <w:rPr>
          <w:rFonts w:hint="eastAsia" w:ascii="仿宋_GB2312" w:hAnsi="仿宋_GB2312" w:eastAsia="仿宋_GB2312" w:cs="仿宋_GB2312"/>
          <w:sz w:val="30"/>
          <w:szCs w:val="30"/>
          <w:lang w:eastAsia="zh-CN"/>
        </w:rPr>
        <w:t>上年</w:t>
      </w:r>
      <w:bookmarkStart w:id="10" w:name="PO_part3A2IncAmount5"/>
      <w:r>
        <w:rPr>
          <w:rFonts w:hint="eastAsia" w:ascii="仿宋_GB2312" w:hAnsi="仿宋_GB2312" w:eastAsia="仿宋_GB2312" w:cs="仿宋_GB2312"/>
          <w:sz w:val="30"/>
          <w:szCs w:val="30"/>
        </w:rPr>
        <w:t>增加</w:t>
      </w:r>
      <w:r>
        <w:rPr>
          <w:rFonts w:hint="eastAsia" w:ascii="仿宋_GB2312" w:hAnsi="仿宋_GB2312" w:eastAsia="仿宋_GB2312" w:cs="仿宋_GB2312"/>
          <w:sz w:val="30"/>
          <w:szCs w:val="30"/>
          <w:lang w:val="en-US" w:eastAsia="zh-CN"/>
        </w:rPr>
        <w:t>0</w:t>
      </w:r>
      <w:r>
        <w:rPr>
          <w:rFonts w:hint="eastAsia" w:ascii="仿宋_GB2312" w:hAnsi="仿宋_GB2312" w:eastAsia="仿宋_GB2312" w:cs="仿宋_GB2312"/>
          <w:sz w:val="11"/>
          <w:szCs w:val="11"/>
        </w:rPr>
        <w:t xml:space="preserve"> </w:t>
      </w:r>
      <w:bookmarkEnd w:id="10"/>
      <w:r>
        <w:rPr>
          <w:rFonts w:hint="eastAsia" w:ascii="仿宋_GB2312" w:hAnsi="仿宋_GB2312" w:eastAsia="仿宋_GB2312" w:cs="仿宋_GB2312"/>
          <w:sz w:val="30"/>
          <w:szCs w:val="30"/>
          <w:lang w:eastAsia="zh-CN"/>
        </w:rPr>
        <w:t>万元</w:t>
      </w:r>
      <w:r>
        <w:rPr>
          <w:rFonts w:hint="eastAsia" w:ascii="仿宋_GB2312" w:hAnsi="宋体" w:eastAsia="仿宋_GB2312" w:cs="宋体"/>
          <w:sz w:val="32"/>
          <w:szCs w:val="32"/>
          <w:highlight w:val="none"/>
          <w:lang w:eastAsia="zh-CN"/>
        </w:rPr>
        <w:t>；</w:t>
      </w:r>
      <w:r>
        <w:rPr>
          <w:rFonts w:hint="eastAsia" w:ascii="仿宋_GB2312" w:hAnsi="仿宋_GB2312" w:eastAsia="仿宋_GB2312" w:cs="仿宋_GB2312"/>
          <w:sz w:val="30"/>
          <w:szCs w:val="30"/>
        </w:rPr>
        <w:t>公务用车运行维护费</w:t>
      </w:r>
      <w:bookmarkStart w:id="11" w:name="PO_part3A2Amount5"/>
      <w:r>
        <w:rPr>
          <w:rFonts w:hint="eastAsia" w:ascii="仿宋_GB2312" w:hAnsi="仿宋_GB2312" w:eastAsia="仿宋_GB2312" w:cs="仿宋_GB2312"/>
          <w:sz w:val="30"/>
          <w:szCs w:val="30"/>
          <w:lang w:val="en-US" w:eastAsia="zh-CN"/>
        </w:rPr>
        <w:t>15</w:t>
      </w:r>
      <w:r>
        <w:rPr>
          <w:rFonts w:ascii="仿宋_GB2312" w:hAnsi="仿宋_GB2312" w:eastAsia="仿宋_GB2312" w:cs="仿宋_GB2312"/>
          <w:sz w:val="11"/>
          <w:szCs w:val="11"/>
        </w:rPr>
        <w:t xml:space="preserve"> </w:t>
      </w:r>
      <w:bookmarkEnd w:id="11"/>
      <w:r>
        <w:rPr>
          <w:rFonts w:hint="eastAsia" w:ascii="仿宋_GB2312" w:hAnsi="仿宋_GB2312" w:eastAsia="仿宋_GB2312" w:cs="仿宋_GB2312"/>
          <w:sz w:val="30"/>
          <w:szCs w:val="30"/>
        </w:rPr>
        <w:t>万元，比</w:t>
      </w:r>
      <w:r>
        <w:rPr>
          <w:rFonts w:hint="eastAsia" w:ascii="仿宋_GB2312" w:hAnsi="仿宋_GB2312" w:eastAsia="仿宋_GB2312" w:cs="仿宋_GB2312"/>
          <w:sz w:val="30"/>
          <w:szCs w:val="30"/>
          <w:lang w:eastAsia="zh-CN"/>
        </w:rPr>
        <w:t>上年</w:t>
      </w:r>
      <w:bookmarkStart w:id="12" w:name="PO_part3A2IncAmount6"/>
      <w:r>
        <w:rPr>
          <w:rFonts w:hint="eastAsia" w:ascii="仿宋_GB2312" w:hAnsi="仿宋_GB2312" w:eastAsia="仿宋_GB2312" w:cs="仿宋_GB2312"/>
          <w:sz w:val="30"/>
          <w:szCs w:val="30"/>
        </w:rPr>
        <w:t>增加</w:t>
      </w:r>
      <w:r>
        <w:rPr>
          <w:rFonts w:hint="eastAsia" w:ascii="仿宋_GB2312" w:hAnsi="仿宋_GB2312" w:eastAsia="仿宋_GB2312" w:cs="仿宋_GB2312"/>
          <w:sz w:val="30"/>
          <w:szCs w:val="30"/>
          <w:lang w:val="en-US" w:eastAsia="zh-CN"/>
        </w:rPr>
        <w:t>0</w:t>
      </w:r>
      <w:r>
        <w:rPr>
          <w:rFonts w:hint="eastAsia" w:ascii="仿宋_GB2312" w:hAnsi="仿宋_GB2312" w:eastAsia="仿宋_GB2312" w:cs="仿宋_GB2312"/>
          <w:sz w:val="11"/>
          <w:szCs w:val="11"/>
        </w:rPr>
        <w:t xml:space="preserve"> </w:t>
      </w:r>
      <w:bookmarkEnd w:id="12"/>
      <w:r>
        <w:rPr>
          <w:rFonts w:hint="eastAsia" w:ascii="仿宋_GB2312" w:hAnsi="仿宋_GB2312" w:eastAsia="仿宋_GB2312" w:cs="仿宋_GB2312"/>
          <w:sz w:val="30"/>
          <w:szCs w:val="30"/>
          <w:lang w:eastAsia="zh-CN"/>
        </w:rPr>
        <w:t>万元。）</w:t>
      </w:r>
      <w:r>
        <w:rPr>
          <w:rFonts w:hint="eastAsia" w:ascii="仿宋_GB2312" w:hAnsi="仿宋_GB2312" w:eastAsia="仿宋_GB2312" w:cs="仿宋_GB2312"/>
          <w:sz w:val="30"/>
          <w:szCs w:val="30"/>
        </w:rPr>
        <w:t>比上年</w:t>
      </w:r>
      <w:bookmarkStart w:id="13" w:name="PO_part3A2IncAmount3"/>
      <w:r>
        <w:rPr>
          <w:rFonts w:hint="eastAsia" w:ascii="仿宋_GB2312" w:hAnsi="仿宋_GB2312" w:eastAsia="仿宋_GB2312" w:cs="仿宋_GB2312"/>
          <w:sz w:val="30"/>
          <w:szCs w:val="30"/>
        </w:rPr>
        <w:t>增加</w:t>
      </w:r>
      <w:r>
        <w:rPr>
          <w:rFonts w:hint="eastAsia" w:ascii="仿宋_GB2312" w:hAnsi="仿宋_GB2312" w:eastAsia="仿宋_GB2312" w:cs="仿宋_GB2312"/>
          <w:sz w:val="30"/>
          <w:szCs w:val="30"/>
          <w:lang w:val="en-US" w:eastAsia="zh-CN"/>
        </w:rPr>
        <w:t>0</w:t>
      </w:r>
      <w:r>
        <w:rPr>
          <w:rFonts w:ascii="仿宋_GB2312" w:hAnsi="仿宋_GB2312" w:eastAsia="仿宋_GB2312" w:cs="仿宋_GB2312"/>
          <w:sz w:val="11"/>
          <w:szCs w:val="11"/>
        </w:rPr>
        <w:t xml:space="preserve"> </w:t>
      </w:r>
      <w:bookmarkEnd w:id="13"/>
      <w:r>
        <w:rPr>
          <w:rFonts w:hint="eastAsia" w:ascii="仿宋_GB2312" w:hAnsi="仿宋_GB2312" w:eastAsia="仿宋_GB2312" w:cs="仿宋_GB2312"/>
          <w:sz w:val="30"/>
          <w:szCs w:val="30"/>
        </w:rPr>
        <w:t>万元，</w:t>
      </w:r>
      <w:bookmarkStart w:id="14" w:name="PO_part3A2IncPercent3"/>
      <w:r>
        <w:rPr>
          <w:rFonts w:hint="eastAsia" w:ascii="仿宋_GB2312" w:hAnsi="仿宋_GB2312" w:eastAsia="仿宋_GB2312" w:cs="仿宋_GB2312"/>
          <w:sz w:val="30"/>
          <w:szCs w:val="30"/>
        </w:rPr>
        <w:t>增长</w:t>
      </w:r>
      <w:r>
        <w:rPr>
          <w:rFonts w:hint="eastAsia" w:ascii="仿宋_GB2312" w:hAnsi="仿宋_GB2312" w:eastAsia="仿宋_GB2312" w:cs="仿宋_GB2312"/>
          <w:sz w:val="30"/>
          <w:szCs w:val="30"/>
          <w:lang w:val="en-US" w:eastAsia="zh-CN"/>
        </w:rPr>
        <w:t>0</w:t>
      </w:r>
      <w:r>
        <w:rPr>
          <w:rFonts w:ascii="仿宋_GB2312" w:hAnsi="仿宋_GB2312" w:eastAsia="仿宋_GB2312" w:cs="仿宋_GB2312"/>
          <w:sz w:val="11"/>
          <w:szCs w:val="11"/>
        </w:rPr>
        <w:t xml:space="preserve"> </w:t>
      </w:r>
      <w:bookmarkEnd w:id="14"/>
      <w:r>
        <w:rPr>
          <w:rFonts w:hint="eastAsia" w:ascii="仿宋_GB2312" w:hAnsi="仿宋_GB2312" w:eastAsia="仿宋_GB2312" w:cs="仿宋_GB2312"/>
          <w:sz w:val="30"/>
          <w:szCs w:val="30"/>
        </w:rPr>
        <w:t>%，主要原因是</w:t>
      </w:r>
      <w:bookmarkStart w:id="15" w:name="PO_part3A2IncReason3"/>
      <w:r>
        <w:rPr>
          <w:rFonts w:hint="eastAsia" w:ascii="仿宋_GB2312" w:hAnsi="仿宋_GB2312" w:eastAsia="仿宋_GB2312" w:cs="仿宋_GB2312"/>
          <w:sz w:val="30"/>
          <w:szCs w:val="30"/>
        </w:rPr>
        <w:t>与上年持平，无增减变化</w:t>
      </w:r>
      <w:r>
        <w:rPr>
          <w:rFonts w:hint="eastAsia" w:ascii="仿宋_GB2312" w:hAnsi="仿宋_GB2312" w:eastAsia="仿宋_GB2312" w:cs="仿宋_GB2312"/>
          <w:sz w:val="11"/>
          <w:szCs w:val="11"/>
        </w:rPr>
        <w:t xml:space="preserve"> </w:t>
      </w:r>
      <w:bookmarkEnd w:id="15"/>
      <w:r>
        <w:rPr>
          <w:rFonts w:hint="eastAsia" w:ascii="仿宋_GB2312" w:hAnsi="仿宋_GB2312" w:eastAsia="仿宋_GB2312" w:cs="仿宋_GB2312"/>
          <w:sz w:val="30"/>
          <w:szCs w:val="30"/>
        </w:rPr>
        <w:t>；公务接待费</w:t>
      </w:r>
      <w:bookmarkStart w:id="16" w:name="PO_part3A2Amount6"/>
      <w:r>
        <w:rPr>
          <w:rFonts w:hint="eastAsia" w:ascii="仿宋_GB2312" w:hAnsi="仿宋_GB2312" w:eastAsia="仿宋_GB2312" w:cs="仿宋_GB2312"/>
          <w:sz w:val="30"/>
          <w:szCs w:val="30"/>
          <w:lang w:val="en-US" w:eastAsia="zh-CN"/>
        </w:rPr>
        <w:t>2</w:t>
      </w:r>
      <w:r>
        <w:rPr>
          <w:rFonts w:ascii="仿宋_GB2312" w:hAnsi="仿宋_GB2312" w:eastAsia="仿宋_GB2312" w:cs="仿宋_GB2312"/>
          <w:sz w:val="11"/>
          <w:szCs w:val="11"/>
        </w:rPr>
        <w:t xml:space="preserve"> </w:t>
      </w:r>
      <w:bookmarkEnd w:id="16"/>
      <w:r>
        <w:rPr>
          <w:rFonts w:hint="eastAsia" w:ascii="仿宋_GB2312" w:hAnsi="仿宋_GB2312" w:eastAsia="仿宋_GB2312" w:cs="仿宋_GB2312"/>
          <w:sz w:val="30"/>
          <w:szCs w:val="30"/>
        </w:rPr>
        <w:t>万元，比上年</w:t>
      </w:r>
      <w:bookmarkStart w:id="17" w:name="PO_part3A2IncAmount4"/>
      <w:r>
        <w:rPr>
          <w:rFonts w:hint="eastAsia" w:ascii="仿宋_GB2312" w:hAnsi="仿宋_GB2312" w:eastAsia="仿宋_GB2312" w:cs="仿宋_GB2312"/>
          <w:sz w:val="30"/>
          <w:szCs w:val="30"/>
        </w:rPr>
        <w:t>增加</w:t>
      </w:r>
      <w:r>
        <w:rPr>
          <w:rFonts w:hint="eastAsia" w:ascii="仿宋_GB2312" w:hAnsi="仿宋_GB2312" w:eastAsia="仿宋_GB2312" w:cs="仿宋_GB2312"/>
          <w:sz w:val="30"/>
          <w:szCs w:val="30"/>
          <w:lang w:val="en-US" w:eastAsia="zh-CN"/>
        </w:rPr>
        <w:t>0</w:t>
      </w:r>
      <w:r>
        <w:rPr>
          <w:rFonts w:ascii="仿宋_GB2312" w:hAnsi="仿宋_GB2312" w:eastAsia="仿宋_GB2312" w:cs="仿宋_GB2312"/>
          <w:sz w:val="11"/>
          <w:szCs w:val="11"/>
        </w:rPr>
        <w:t xml:space="preserve"> </w:t>
      </w:r>
      <w:bookmarkEnd w:id="17"/>
      <w:r>
        <w:rPr>
          <w:rFonts w:hint="eastAsia" w:ascii="仿宋_GB2312" w:hAnsi="仿宋_GB2312" w:eastAsia="仿宋_GB2312" w:cs="仿宋_GB2312"/>
          <w:sz w:val="30"/>
          <w:szCs w:val="30"/>
        </w:rPr>
        <w:t>万元，</w:t>
      </w:r>
      <w:bookmarkStart w:id="18" w:name="PO_part3A2IncPercent4"/>
      <w:r>
        <w:rPr>
          <w:rFonts w:hint="eastAsia" w:ascii="仿宋_GB2312" w:hAnsi="仿宋_GB2312" w:eastAsia="仿宋_GB2312" w:cs="仿宋_GB2312"/>
          <w:sz w:val="30"/>
          <w:szCs w:val="30"/>
        </w:rPr>
        <w:t>增长</w:t>
      </w:r>
      <w:r>
        <w:rPr>
          <w:rFonts w:hint="eastAsia" w:ascii="仿宋_GB2312" w:hAnsi="仿宋_GB2312" w:eastAsia="仿宋_GB2312" w:cs="仿宋_GB2312"/>
          <w:sz w:val="30"/>
          <w:szCs w:val="30"/>
          <w:lang w:val="en-US" w:eastAsia="zh-CN"/>
        </w:rPr>
        <w:t>0</w:t>
      </w:r>
      <w:r>
        <w:rPr>
          <w:rFonts w:ascii="仿宋_GB2312" w:hAnsi="仿宋_GB2312" w:eastAsia="仿宋_GB2312" w:cs="仿宋_GB2312"/>
          <w:sz w:val="11"/>
          <w:szCs w:val="11"/>
        </w:rPr>
        <w:t xml:space="preserve"> </w:t>
      </w:r>
      <w:bookmarkEnd w:id="18"/>
      <w:r>
        <w:rPr>
          <w:rFonts w:hint="eastAsia" w:ascii="仿宋_GB2312" w:hAnsi="仿宋_GB2312" w:eastAsia="仿宋_GB2312" w:cs="仿宋_GB2312"/>
          <w:sz w:val="30"/>
          <w:szCs w:val="30"/>
        </w:rPr>
        <w:t>%，主要原因是</w:t>
      </w:r>
      <w:bookmarkStart w:id="19" w:name="PO_part3A2IncReason4"/>
      <w:r>
        <w:rPr>
          <w:rFonts w:hint="eastAsia" w:ascii="仿宋_GB2312" w:hAnsi="仿宋_GB2312" w:eastAsia="仿宋_GB2312" w:cs="仿宋_GB2312"/>
          <w:sz w:val="30"/>
          <w:szCs w:val="30"/>
        </w:rPr>
        <w:t>与上年持平，无增减变化</w:t>
      </w:r>
      <w:r>
        <w:rPr>
          <w:rFonts w:hint="eastAsia" w:ascii="仿宋_GB2312" w:hAnsi="仿宋_GB2312" w:eastAsia="仿宋_GB2312" w:cs="仿宋_GB2312"/>
          <w:sz w:val="11"/>
          <w:szCs w:val="11"/>
        </w:rPr>
        <w:t xml:space="preserve"> </w:t>
      </w:r>
      <w:bookmarkEnd w:id="19"/>
      <w:r>
        <w:rPr>
          <w:rFonts w:hint="eastAsia" w:ascii="仿宋_GB2312" w:hAnsi="仿宋_GB2312" w:eastAsia="仿宋_GB2312" w:cs="仿宋_GB2312"/>
          <w:sz w:val="30"/>
          <w:szCs w:val="30"/>
        </w:rPr>
        <w:t>。</w:t>
      </w:r>
    </w:p>
    <w:p>
      <w:pPr>
        <w:ind w:firstLine="600" w:firstLineChars="200"/>
        <w:rPr>
          <w:rFonts w:hint="eastAsia" w:ascii="仿宋_GB2312" w:hAnsi="仿宋_GB2312" w:eastAsia="仿宋_GB2312" w:cs="仿宋_GB2312"/>
          <w:sz w:val="30"/>
          <w:szCs w:val="30"/>
        </w:rPr>
      </w:pPr>
    </w:p>
    <w:p>
      <w:pPr>
        <w:ind w:firstLine="600" w:firstLineChars="200"/>
        <w:rPr>
          <w:rFonts w:hint="eastAsia" w:ascii="仿宋_GB2312" w:hAnsi="仿宋_GB2312" w:eastAsia="仿宋_GB2312" w:cs="仿宋_GB2312"/>
          <w:sz w:val="30"/>
          <w:szCs w:val="30"/>
          <w:lang w:eastAsia="zh-CN"/>
        </w:rPr>
      </w:pPr>
      <w:r>
        <w:rPr>
          <w:rFonts w:hint="eastAsia" w:ascii="仿宋_GB2312" w:hAnsi="仿宋_GB2312" w:eastAsia="仿宋_GB2312" w:cs="仿宋_GB2312"/>
          <w:sz w:val="30"/>
          <w:szCs w:val="30"/>
          <w:lang w:eastAsia="zh-CN"/>
        </w:rPr>
        <w:t>附件：</w:t>
      </w:r>
    </w:p>
    <w:p>
      <w:pPr>
        <w:ind w:firstLine="600" w:firstLineChars="200"/>
        <w:rPr>
          <w:rFonts w:hint="default" w:ascii="仿宋_GB2312" w:hAnsi="仿宋_GB2312" w:eastAsia="仿宋_GB2312" w:cs="仿宋_GB2312"/>
          <w:sz w:val="30"/>
          <w:szCs w:val="30"/>
          <w:lang w:val="en-US" w:eastAsia="zh-CN"/>
        </w:rPr>
      </w:pPr>
      <w:r>
        <w:rPr>
          <w:rFonts w:hint="eastAsia" w:ascii="仿宋_GB2312" w:hAnsi="仿宋_GB2312" w:eastAsia="仿宋_GB2312" w:cs="仿宋_GB2312"/>
          <w:sz w:val="30"/>
          <w:szCs w:val="30"/>
          <w:lang w:eastAsia="zh-CN"/>
        </w:rPr>
        <w:t>遂溪县城月镇</w:t>
      </w:r>
      <w:r>
        <w:rPr>
          <w:rFonts w:hint="eastAsia" w:ascii="仿宋_GB2312" w:hAnsi="仿宋_GB2312" w:eastAsia="仿宋_GB2312" w:cs="仿宋_GB2312"/>
          <w:sz w:val="30"/>
          <w:szCs w:val="30"/>
          <w:lang w:val="en-US" w:eastAsia="zh-CN"/>
        </w:rPr>
        <w:t>2022年财政安排行的行政经费“三公”经费预算表</w:t>
      </w:r>
    </w:p>
    <w:p>
      <w:pPr>
        <w:ind w:firstLine="600" w:firstLineChars="200"/>
        <w:rPr>
          <w:rFonts w:hint="eastAsia" w:ascii="仿宋_GB2312" w:hAnsi="仿宋_GB2312" w:eastAsia="仿宋_GB2312" w:cs="仿宋_GB2312"/>
          <w:sz w:val="30"/>
          <w:szCs w:val="30"/>
        </w:rPr>
      </w:pPr>
    </w:p>
    <w:p>
      <w:pPr>
        <w:ind w:firstLine="600" w:firstLineChars="200"/>
        <w:rPr>
          <w:rFonts w:hint="eastAsia" w:ascii="仿宋_GB2312" w:hAnsi="仿宋_GB2312" w:eastAsia="仿宋_GB2312" w:cs="仿宋_GB2312"/>
          <w:sz w:val="30"/>
          <w:szCs w:val="30"/>
        </w:rPr>
      </w:pPr>
    </w:p>
    <w:p>
      <w:pPr>
        <w:ind w:firstLine="600" w:firstLineChars="200"/>
        <w:rPr>
          <w:rFonts w:hint="eastAsia" w:ascii="仿宋_GB2312" w:hAnsi="仿宋_GB2312" w:eastAsia="仿宋_GB2312" w:cs="仿宋_GB2312"/>
          <w:sz w:val="30"/>
          <w:szCs w:val="30"/>
        </w:rPr>
      </w:pPr>
    </w:p>
    <w:p>
      <w:pPr>
        <w:rPr>
          <w:rFonts w:hint="eastAsia" w:ascii="仿宋_GB2312" w:hAnsi="仿宋_GB2312" w:eastAsia="仿宋_GB2312" w:cs="仿宋_GB2312"/>
          <w:sz w:val="30"/>
          <w:szCs w:val="30"/>
        </w:rPr>
      </w:pPr>
    </w:p>
    <w:tbl>
      <w:tblPr>
        <w:tblStyle w:val="5"/>
        <w:tblW w:w="14175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359"/>
        <w:gridCol w:w="1785"/>
        <w:gridCol w:w="419"/>
        <w:gridCol w:w="2204"/>
        <w:gridCol w:w="2204"/>
        <w:gridCol w:w="2204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31" w:hRule="atLeast"/>
          <w:tblHeader/>
        </w:trPr>
        <w:tc>
          <w:tcPr>
            <w:tcW w:w="14175" w:type="dxa"/>
            <w:gridSpan w:val="6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jc w:val="right"/>
              <w:rPr>
                <w:rFonts w:hint="eastAsia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表7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31" w:hRule="atLeast"/>
          <w:tblHeader/>
        </w:trPr>
        <w:tc>
          <w:tcPr>
            <w:tcW w:w="14175" w:type="dxa"/>
            <w:gridSpan w:val="6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jc w:val="center"/>
              <w:rPr>
                <w:rFonts w:hint="eastAsia"/>
              </w:rPr>
            </w:pPr>
            <w:r>
              <w:rPr>
                <w:rFonts w:hint="eastAsia" w:ascii="宋体" w:hAnsi="宋体"/>
                <w:b/>
                <w:bCs/>
                <w:color w:val="000000"/>
                <w:kern w:val="0"/>
                <w:sz w:val="24"/>
              </w:rPr>
              <w:t>财政拨款安排的行政经费及“三公”经费预算表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31" w:hRule="atLeast"/>
          <w:tblHeader/>
        </w:trPr>
        <w:tc>
          <w:tcPr>
            <w:tcW w:w="7144" w:type="dxa"/>
            <w:gridSpan w:val="2"/>
            <w:tcBorders>
              <w:top w:val="nil"/>
              <w:left w:val="nil"/>
              <w:bottom w:val="single" w:color="auto" w:sz="4" w:space="0"/>
              <w:right w:val="nil"/>
            </w:tcBorders>
            <w:noWrap w:val="0"/>
            <w:vAlign w:val="center"/>
          </w:tcPr>
          <w:p>
            <w:pPr>
              <w:jc w:val="left"/>
              <w:rPr>
                <w:rFonts w:hint="eastAsia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单位名称：</w:t>
            </w:r>
            <w:bookmarkStart w:id="20" w:name="PO_part2Table8DivName1"/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 xml:space="preserve"> </w:t>
            </w: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  <w:lang w:eastAsia="zh-CN"/>
              </w:rPr>
              <w:t>城月镇人民政府</w:t>
            </w: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 xml:space="preserve"> </w:t>
            </w:r>
            <w:bookmarkEnd w:id="20"/>
          </w:p>
        </w:tc>
        <w:tc>
          <w:tcPr>
            <w:tcW w:w="7031" w:type="dxa"/>
            <w:gridSpan w:val="4"/>
            <w:tcBorders>
              <w:top w:val="nil"/>
              <w:left w:val="nil"/>
              <w:bottom w:val="single" w:color="auto" w:sz="4" w:space="0"/>
              <w:right w:val="nil"/>
            </w:tcBorders>
            <w:noWrap w:val="0"/>
            <w:vAlign w:val="center"/>
          </w:tcPr>
          <w:p>
            <w:pPr>
              <w:jc w:val="right"/>
              <w:rPr>
                <w:rFonts w:hint="eastAsia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单位：万元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31" w:hRule="atLeast"/>
          <w:tblHeader/>
        </w:trPr>
        <w:tc>
          <w:tcPr>
            <w:tcW w:w="5359" w:type="dxa"/>
            <w:tcBorders>
              <w:top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项        目</w:t>
            </w:r>
          </w:p>
        </w:tc>
        <w:tc>
          <w:tcPr>
            <w:tcW w:w="2204" w:type="dxa"/>
            <w:gridSpan w:val="2"/>
            <w:tcBorders>
              <w:top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合计</w:t>
            </w:r>
          </w:p>
        </w:tc>
        <w:tc>
          <w:tcPr>
            <w:tcW w:w="2204" w:type="dxa"/>
            <w:tcBorders>
              <w:top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一般公共预算</w:t>
            </w:r>
          </w:p>
        </w:tc>
        <w:tc>
          <w:tcPr>
            <w:tcW w:w="2204" w:type="dxa"/>
            <w:tcBorders>
              <w:top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政府性基金预算</w:t>
            </w:r>
          </w:p>
        </w:tc>
        <w:tc>
          <w:tcPr>
            <w:tcW w:w="2204" w:type="dxa"/>
            <w:tcBorders>
              <w:top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国有资本经营预算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31" w:hRule="atLeast"/>
        </w:trPr>
        <w:tc>
          <w:tcPr>
            <w:tcW w:w="5359" w:type="dxa"/>
            <w:noWrap w:val="0"/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行政经费</w:t>
            </w:r>
          </w:p>
        </w:tc>
        <w:tc>
          <w:tcPr>
            <w:tcW w:w="2204" w:type="dxa"/>
            <w:gridSpan w:val="2"/>
            <w:noWrap w:val="0"/>
            <w:vAlign w:val="center"/>
          </w:tcPr>
          <w:p>
            <w:pPr>
              <w:jc w:val="right"/>
              <w:rPr>
                <w:rFonts w:ascii="宋体" w:hAnsi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sz w:val="18"/>
                <w:szCs w:val="18"/>
                <w:lang w:val="en-US" w:eastAsia="zh-CN"/>
              </w:rPr>
              <w:t>17</w:t>
            </w:r>
            <w:r>
              <w:rPr>
                <w:rFonts w:hint="eastAsia" w:ascii="宋体" w:hAnsi="宋体"/>
                <w:color w:val="000000"/>
                <w:sz w:val="18"/>
                <w:szCs w:val="18"/>
              </w:rPr>
              <w:t>.00</w:t>
            </w:r>
          </w:p>
        </w:tc>
        <w:tc>
          <w:tcPr>
            <w:tcW w:w="2204" w:type="dxa"/>
            <w:noWrap w:val="0"/>
            <w:vAlign w:val="center"/>
          </w:tcPr>
          <w:p>
            <w:pPr>
              <w:jc w:val="right"/>
              <w:rPr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sz w:val="18"/>
                <w:szCs w:val="18"/>
                <w:lang w:val="en-US" w:eastAsia="zh-CN"/>
              </w:rPr>
              <w:t>17</w:t>
            </w:r>
            <w:r>
              <w:rPr>
                <w:rFonts w:hint="eastAsia" w:ascii="宋体" w:hAnsi="宋体"/>
                <w:color w:val="000000"/>
                <w:sz w:val="18"/>
                <w:szCs w:val="18"/>
              </w:rPr>
              <w:t>.00</w:t>
            </w:r>
          </w:p>
        </w:tc>
        <w:tc>
          <w:tcPr>
            <w:tcW w:w="2204" w:type="dxa"/>
            <w:noWrap w:val="0"/>
            <w:vAlign w:val="center"/>
          </w:tcPr>
          <w:p>
            <w:pPr>
              <w:jc w:val="right"/>
              <w:rPr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sz w:val="18"/>
                <w:szCs w:val="18"/>
              </w:rPr>
              <w:t>0.00</w:t>
            </w:r>
          </w:p>
        </w:tc>
        <w:tc>
          <w:tcPr>
            <w:tcW w:w="2204" w:type="dxa"/>
            <w:noWrap w:val="0"/>
            <w:vAlign w:val="center"/>
          </w:tcPr>
          <w:p>
            <w:pPr>
              <w:jc w:val="right"/>
              <w:rPr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sz w:val="18"/>
                <w:szCs w:val="18"/>
              </w:rPr>
              <w:t>0.00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31" w:hRule="atLeast"/>
        </w:trPr>
        <w:tc>
          <w:tcPr>
            <w:tcW w:w="5359" w:type="dxa"/>
            <w:noWrap w:val="0"/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“三公”经费</w:t>
            </w:r>
          </w:p>
        </w:tc>
        <w:tc>
          <w:tcPr>
            <w:tcW w:w="2204" w:type="dxa"/>
            <w:gridSpan w:val="2"/>
            <w:noWrap w:val="0"/>
            <w:vAlign w:val="center"/>
          </w:tcPr>
          <w:p>
            <w:pPr>
              <w:jc w:val="right"/>
              <w:rPr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sz w:val="18"/>
                <w:szCs w:val="18"/>
                <w:lang w:val="en-US" w:eastAsia="zh-CN"/>
              </w:rPr>
              <w:t>17</w:t>
            </w:r>
            <w:r>
              <w:rPr>
                <w:rFonts w:hint="eastAsia" w:ascii="宋体" w:hAnsi="宋体"/>
                <w:color w:val="000000"/>
                <w:sz w:val="18"/>
                <w:szCs w:val="18"/>
              </w:rPr>
              <w:t>.00</w:t>
            </w:r>
          </w:p>
        </w:tc>
        <w:tc>
          <w:tcPr>
            <w:tcW w:w="2204" w:type="dxa"/>
            <w:noWrap w:val="0"/>
            <w:vAlign w:val="center"/>
          </w:tcPr>
          <w:p>
            <w:pPr>
              <w:jc w:val="right"/>
              <w:rPr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sz w:val="18"/>
                <w:szCs w:val="18"/>
                <w:lang w:val="en-US" w:eastAsia="zh-CN"/>
              </w:rPr>
              <w:t>17</w:t>
            </w:r>
            <w:r>
              <w:rPr>
                <w:rFonts w:hint="eastAsia" w:ascii="宋体" w:hAnsi="宋体"/>
                <w:color w:val="000000"/>
                <w:sz w:val="18"/>
                <w:szCs w:val="18"/>
              </w:rPr>
              <w:t>.00</w:t>
            </w:r>
          </w:p>
        </w:tc>
        <w:tc>
          <w:tcPr>
            <w:tcW w:w="2204" w:type="dxa"/>
            <w:noWrap w:val="0"/>
            <w:vAlign w:val="center"/>
          </w:tcPr>
          <w:p>
            <w:pPr>
              <w:jc w:val="right"/>
              <w:rPr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sz w:val="18"/>
                <w:szCs w:val="18"/>
              </w:rPr>
              <w:t>0.00</w:t>
            </w:r>
          </w:p>
        </w:tc>
        <w:tc>
          <w:tcPr>
            <w:tcW w:w="2204" w:type="dxa"/>
            <w:noWrap w:val="0"/>
            <w:vAlign w:val="center"/>
          </w:tcPr>
          <w:p>
            <w:pPr>
              <w:jc w:val="right"/>
              <w:rPr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sz w:val="18"/>
                <w:szCs w:val="18"/>
              </w:rPr>
              <w:t>0.00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31" w:hRule="atLeast"/>
        </w:trPr>
        <w:tc>
          <w:tcPr>
            <w:tcW w:w="5359" w:type="dxa"/>
            <w:noWrap w:val="0"/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 xml:space="preserve">      其中：（一）因公出国（境）支出</w:t>
            </w:r>
          </w:p>
        </w:tc>
        <w:tc>
          <w:tcPr>
            <w:tcW w:w="2204" w:type="dxa"/>
            <w:gridSpan w:val="2"/>
            <w:noWrap w:val="0"/>
            <w:vAlign w:val="center"/>
          </w:tcPr>
          <w:p>
            <w:pPr>
              <w:jc w:val="right"/>
              <w:rPr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sz w:val="18"/>
                <w:szCs w:val="18"/>
              </w:rPr>
              <w:t>0.00</w:t>
            </w:r>
          </w:p>
        </w:tc>
        <w:tc>
          <w:tcPr>
            <w:tcW w:w="2204" w:type="dxa"/>
            <w:noWrap w:val="0"/>
            <w:vAlign w:val="center"/>
          </w:tcPr>
          <w:p>
            <w:pPr>
              <w:jc w:val="right"/>
              <w:rPr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sz w:val="18"/>
                <w:szCs w:val="18"/>
              </w:rPr>
              <w:t>0.00</w:t>
            </w:r>
          </w:p>
        </w:tc>
        <w:tc>
          <w:tcPr>
            <w:tcW w:w="2204" w:type="dxa"/>
            <w:noWrap w:val="0"/>
            <w:vAlign w:val="center"/>
          </w:tcPr>
          <w:p>
            <w:pPr>
              <w:jc w:val="right"/>
              <w:rPr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sz w:val="18"/>
                <w:szCs w:val="18"/>
              </w:rPr>
              <w:t>0.00</w:t>
            </w:r>
          </w:p>
        </w:tc>
        <w:tc>
          <w:tcPr>
            <w:tcW w:w="2204" w:type="dxa"/>
            <w:noWrap w:val="0"/>
            <w:vAlign w:val="center"/>
          </w:tcPr>
          <w:p>
            <w:pPr>
              <w:jc w:val="right"/>
              <w:rPr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sz w:val="18"/>
                <w:szCs w:val="18"/>
              </w:rPr>
              <w:t>0.00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31" w:hRule="atLeast"/>
        </w:trPr>
        <w:tc>
          <w:tcPr>
            <w:tcW w:w="5359" w:type="dxa"/>
            <w:noWrap w:val="0"/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 xml:space="preserve">            （二）公务用车购置及运行维护支出</w:t>
            </w:r>
          </w:p>
        </w:tc>
        <w:tc>
          <w:tcPr>
            <w:tcW w:w="2204" w:type="dxa"/>
            <w:gridSpan w:val="2"/>
            <w:noWrap w:val="0"/>
            <w:vAlign w:val="center"/>
          </w:tcPr>
          <w:p>
            <w:pPr>
              <w:jc w:val="right"/>
              <w:rPr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sz w:val="18"/>
                <w:szCs w:val="18"/>
                <w:lang w:val="en-US" w:eastAsia="zh-CN"/>
              </w:rPr>
              <w:t>15</w:t>
            </w:r>
            <w:r>
              <w:rPr>
                <w:rFonts w:hint="eastAsia" w:ascii="宋体" w:hAnsi="宋体"/>
                <w:color w:val="000000"/>
                <w:sz w:val="18"/>
                <w:szCs w:val="18"/>
              </w:rPr>
              <w:t>.00</w:t>
            </w:r>
          </w:p>
        </w:tc>
        <w:tc>
          <w:tcPr>
            <w:tcW w:w="2204" w:type="dxa"/>
            <w:noWrap w:val="0"/>
            <w:vAlign w:val="center"/>
          </w:tcPr>
          <w:p>
            <w:pPr>
              <w:jc w:val="right"/>
              <w:rPr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sz w:val="18"/>
                <w:szCs w:val="18"/>
                <w:lang w:val="en-US" w:eastAsia="zh-CN"/>
              </w:rPr>
              <w:t>15</w:t>
            </w:r>
            <w:r>
              <w:rPr>
                <w:rFonts w:hint="eastAsia" w:ascii="宋体" w:hAnsi="宋体"/>
                <w:color w:val="000000"/>
                <w:sz w:val="18"/>
                <w:szCs w:val="18"/>
              </w:rPr>
              <w:t>.00</w:t>
            </w:r>
          </w:p>
        </w:tc>
        <w:tc>
          <w:tcPr>
            <w:tcW w:w="2204" w:type="dxa"/>
            <w:noWrap w:val="0"/>
            <w:vAlign w:val="center"/>
          </w:tcPr>
          <w:p>
            <w:pPr>
              <w:jc w:val="right"/>
              <w:rPr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sz w:val="18"/>
                <w:szCs w:val="18"/>
              </w:rPr>
              <w:t>0.00</w:t>
            </w:r>
          </w:p>
        </w:tc>
        <w:tc>
          <w:tcPr>
            <w:tcW w:w="2204" w:type="dxa"/>
            <w:noWrap w:val="0"/>
            <w:vAlign w:val="center"/>
          </w:tcPr>
          <w:p>
            <w:pPr>
              <w:jc w:val="right"/>
              <w:rPr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sz w:val="18"/>
                <w:szCs w:val="18"/>
              </w:rPr>
              <w:t>0.00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31" w:hRule="atLeast"/>
        </w:trPr>
        <w:tc>
          <w:tcPr>
            <w:tcW w:w="5359" w:type="dxa"/>
            <w:noWrap w:val="0"/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 xml:space="preserve">                  1.公务用车购置</w:t>
            </w:r>
          </w:p>
        </w:tc>
        <w:tc>
          <w:tcPr>
            <w:tcW w:w="2204" w:type="dxa"/>
            <w:gridSpan w:val="2"/>
            <w:noWrap w:val="0"/>
            <w:vAlign w:val="center"/>
          </w:tcPr>
          <w:p>
            <w:pPr>
              <w:jc w:val="right"/>
              <w:rPr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sz w:val="18"/>
                <w:szCs w:val="18"/>
              </w:rPr>
              <w:t>0.00</w:t>
            </w:r>
          </w:p>
        </w:tc>
        <w:tc>
          <w:tcPr>
            <w:tcW w:w="2204" w:type="dxa"/>
            <w:noWrap w:val="0"/>
            <w:vAlign w:val="center"/>
          </w:tcPr>
          <w:p>
            <w:pPr>
              <w:jc w:val="right"/>
              <w:rPr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sz w:val="18"/>
                <w:szCs w:val="18"/>
              </w:rPr>
              <w:t>0.00</w:t>
            </w:r>
          </w:p>
        </w:tc>
        <w:tc>
          <w:tcPr>
            <w:tcW w:w="2204" w:type="dxa"/>
            <w:noWrap w:val="0"/>
            <w:vAlign w:val="center"/>
          </w:tcPr>
          <w:p>
            <w:pPr>
              <w:jc w:val="right"/>
              <w:rPr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sz w:val="18"/>
                <w:szCs w:val="18"/>
              </w:rPr>
              <w:t>0.00</w:t>
            </w:r>
          </w:p>
        </w:tc>
        <w:tc>
          <w:tcPr>
            <w:tcW w:w="2204" w:type="dxa"/>
            <w:noWrap w:val="0"/>
            <w:vAlign w:val="center"/>
          </w:tcPr>
          <w:p>
            <w:pPr>
              <w:jc w:val="right"/>
              <w:rPr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sz w:val="18"/>
                <w:szCs w:val="18"/>
              </w:rPr>
              <w:t>0.00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31" w:hRule="atLeast"/>
        </w:trPr>
        <w:tc>
          <w:tcPr>
            <w:tcW w:w="5359" w:type="dxa"/>
            <w:noWrap w:val="0"/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 xml:space="preserve">                  2.公务用车运行维护费</w:t>
            </w:r>
          </w:p>
        </w:tc>
        <w:tc>
          <w:tcPr>
            <w:tcW w:w="2204" w:type="dxa"/>
            <w:gridSpan w:val="2"/>
            <w:noWrap w:val="0"/>
            <w:vAlign w:val="center"/>
          </w:tcPr>
          <w:p>
            <w:pPr>
              <w:jc w:val="right"/>
              <w:rPr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sz w:val="18"/>
                <w:szCs w:val="18"/>
                <w:lang w:val="en-US" w:eastAsia="zh-CN"/>
              </w:rPr>
              <w:t>15</w:t>
            </w:r>
            <w:r>
              <w:rPr>
                <w:rFonts w:hint="eastAsia" w:ascii="宋体" w:hAnsi="宋体"/>
                <w:color w:val="000000"/>
                <w:sz w:val="18"/>
                <w:szCs w:val="18"/>
              </w:rPr>
              <w:t>.00</w:t>
            </w:r>
          </w:p>
        </w:tc>
        <w:tc>
          <w:tcPr>
            <w:tcW w:w="2204" w:type="dxa"/>
            <w:noWrap w:val="0"/>
            <w:vAlign w:val="center"/>
          </w:tcPr>
          <w:p>
            <w:pPr>
              <w:jc w:val="right"/>
              <w:rPr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sz w:val="18"/>
                <w:szCs w:val="18"/>
                <w:lang w:val="en-US" w:eastAsia="zh-CN"/>
              </w:rPr>
              <w:t>15</w:t>
            </w:r>
            <w:r>
              <w:rPr>
                <w:rFonts w:hint="eastAsia" w:ascii="宋体" w:hAnsi="宋体"/>
                <w:color w:val="000000"/>
                <w:sz w:val="18"/>
                <w:szCs w:val="18"/>
              </w:rPr>
              <w:t>.00</w:t>
            </w:r>
          </w:p>
        </w:tc>
        <w:tc>
          <w:tcPr>
            <w:tcW w:w="2204" w:type="dxa"/>
            <w:noWrap w:val="0"/>
            <w:vAlign w:val="center"/>
          </w:tcPr>
          <w:p>
            <w:pPr>
              <w:jc w:val="right"/>
              <w:rPr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sz w:val="18"/>
                <w:szCs w:val="18"/>
              </w:rPr>
              <w:t>0.00</w:t>
            </w:r>
          </w:p>
        </w:tc>
        <w:tc>
          <w:tcPr>
            <w:tcW w:w="2204" w:type="dxa"/>
            <w:noWrap w:val="0"/>
            <w:vAlign w:val="center"/>
          </w:tcPr>
          <w:p>
            <w:pPr>
              <w:jc w:val="right"/>
              <w:rPr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sz w:val="18"/>
                <w:szCs w:val="18"/>
              </w:rPr>
              <w:t>0.00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31" w:hRule="atLeast"/>
        </w:trPr>
        <w:tc>
          <w:tcPr>
            <w:tcW w:w="5359" w:type="dxa"/>
            <w:noWrap w:val="0"/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 xml:space="preserve">            （三）公务接待费支出</w:t>
            </w:r>
          </w:p>
        </w:tc>
        <w:tc>
          <w:tcPr>
            <w:tcW w:w="2204" w:type="dxa"/>
            <w:gridSpan w:val="2"/>
            <w:noWrap w:val="0"/>
            <w:vAlign w:val="center"/>
          </w:tcPr>
          <w:p>
            <w:pPr>
              <w:jc w:val="right"/>
              <w:rPr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sz w:val="18"/>
                <w:szCs w:val="18"/>
                <w:lang w:val="en-US" w:eastAsia="zh-CN"/>
              </w:rPr>
              <w:t>2</w:t>
            </w:r>
            <w:r>
              <w:rPr>
                <w:rFonts w:hint="eastAsia" w:ascii="宋体" w:hAnsi="宋体"/>
                <w:color w:val="000000"/>
                <w:sz w:val="18"/>
                <w:szCs w:val="18"/>
              </w:rPr>
              <w:t>.00</w:t>
            </w:r>
          </w:p>
        </w:tc>
        <w:tc>
          <w:tcPr>
            <w:tcW w:w="2204" w:type="dxa"/>
            <w:noWrap w:val="0"/>
            <w:vAlign w:val="center"/>
          </w:tcPr>
          <w:p>
            <w:pPr>
              <w:jc w:val="right"/>
              <w:rPr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sz w:val="18"/>
                <w:szCs w:val="18"/>
                <w:lang w:val="en-US" w:eastAsia="zh-CN"/>
              </w:rPr>
              <w:t>2</w:t>
            </w:r>
            <w:r>
              <w:rPr>
                <w:rFonts w:hint="eastAsia" w:ascii="宋体" w:hAnsi="宋体"/>
                <w:color w:val="000000"/>
                <w:sz w:val="18"/>
                <w:szCs w:val="18"/>
              </w:rPr>
              <w:t>.00</w:t>
            </w:r>
          </w:p>
        </w:tc>
        <w:tc>
          <w:tcPr>
            <w:tcW w:w="2204" w:type="dxa"/>
            <w:noWrap w:val="0"/>
            <w:vAlign w:val="center"/>
          </w:tcPr>
          <w:p>
            <w:pPr>
              <w:jc w:val="right"/>
              <w:rPr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sz w:val="18"/>
                <w:szCs w:val="18"/>
              </w:rPr>
              <w:t>0.00</w:t>
            </w:r>
          </w:p>
        </w:tc>
        <w:tc>
          <w:tcPr>
            <w:tcW w:w="2204" w:type="dxa"/>
            <w:noWrap w:val="0"/>
            <w:vAlign w:val="center"/>
          </w:tcPr>
          <w:p>
            <w:pPr>
              <w:jc w:val="right"/>
              <w:rPr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sz w:val="18"/>
                <w:szCs w:val="18"/>
              </w:rPr>
              <w:t>0.00</w:t>
            </w:r>
          </w:p>
        </w:tc>
      </w:tr>
    </w:tbl>
    <w:p>
      <w:pPr>
        <w:rPr>
          <w:rFonts w:hint="eastAsia" w:ascii="仿宋_GB2312" w:hAnsi="仿宋_GB2312" w:eastAsia="仿宋_GB2312" w:cs="仿宋_GB2312"/>
          <w:sz w:val="30"/>
          <w:szCs w:val="30"/>
        </w:rPr>
      </w:pPr>
      <w:r>
        <w:rPr>
          <w:rFonts w:hint="eastAsia" w:ascii="宋体" w:hAnsi="宋体" w:cs="宋体"/>
          <w:color w:val="000000"/>
          <w:kern w:val="0"/>
          <w:sz w:val="18"/>
          <w:szCs w:val="18"/>
          <w:lang w:bidi="ar"/>
        </w:rPr>
        <w:t>注：</w:t>
      </w:r>
      <w:bookmarkStart w:id="21" w:name="PO_part1remark7"/>
      <w:r>
        <w:rPr>
          <w:rFonts w:hint="eastAsia" w:ascii="宋体" w:hAnsi="宋体" w:cs="宋体"/>
          <w:color w:val="000000"/>
          <w:kern w:val="0"/>
          <w:sz w:val="18"/>
          <w:szCs w:val="18"/>
          <w:lang w:bidi="ar"/>
        </w:rPr>
        <w:t xml:space="preserve"> </w:t>
      </w:r>
      <w:r>
        <w:rPr>
          <w:rFonts w:hint="eastAsia" w:ascii="宋体" w:hAnsi="宋体" w:eastAsia="宋体" w:cs="宋体"/>
          <w:color w:val="000000"/>
          <w:kern w:val="0"/>
          <w:sz w:val="18"/>
          <w:szCs w:val="18"/>
          <w:lang w:eastAsia="zh-CN" w:bidi="ar"/>
        </w:rPr>
        <w:t>无</w:t>
      </w:r>
      <w:r>
        <w:rPr>
          <w:rFonts w:hint="eastAsia" w:ascii="宋体" w:hAnsi="宋体" w:cs="宋体"/>
          <w:color w:val="000000"/>
          <w:kern w:val="0"/>
          <w:sz w:val="18"/>
          <w:szCs w:val="18"/>
          <w:lang w:bidi="ar"/>
        </w:rPr>
        <w:t xml:space="preserve"> </w:t>
      </w:r>
      <w:bookmarkEnd w:id="21"/>
    </w:p>
    <w:p>
      <w:pPr>
        <w:rPr>
          <w:rFonts w:hint="eastAsia" w:ascii="仿宋_GB2312" w:hAnsi="仿宋_GB2312" w:eastAsia="仿宋_GB2312" w:cs="仿宋_GB2312"/>
          <w:sz w:val="30"/>
          <w:szCs w:val="30"/>
        </w:rPr>
      </w:pPr>
    </w:p>
    <w:p>
      <w:pPr>
        <w:ind w:firstLine="640"/>
        <w:rPr>
          <w:rFonts w:hint="eastAsia"/>
          <w:sz w:val="32"/>
          <w:szCs w:val="32"/>
          <w:lang w:val="en-US" w:eastAsia="zh-CN"/>
        </w:rPr>
      </w:pPr>
      <w:r>
        <w:rPr>
          <w:rFonts w:hint="eastAsia"/>
          <w:sz w:val="32"/>
          <w:szCs w:val="32"/>
          <w:lang w:val="en-US" w:eastAsia="zh-CN"/>
        </w:rPr>
        <w:t xml:space="preserve"> </w:t>
      </w:r>
    </w:p>
    <w:p>
      <w:pPr>
        <w:rPr>
          <w:rFonts w:hint="default"/>
          <w:sz w:val="32"/>
          <w:szCs w:val="32"/>
          <w:lang w:val="en-US" w:eastAsia="zh-CN"/>
        </w:rPr>
      </w:pPr>
    </w:p>
    <w:sectPr>
      <w:footerReference r:id="rId3" w:type="default"/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_GB2312">
    <w:altName w:val="仿宋"/>
    <w:panose1 w:val="00000000000000000000"/>
    <w:charset w:val="00"/>
    <w:family w:val="auto"/>
    <w:pitch w:val="default"/>
    <w:sig w:usb0="00000000" w:usb1="00000000" w:usb2="00000000" w:usb3="00000000" w:csb0="0000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2"/>
                            <w:rPr>
                              <w:rFonts w:hint="eastAsia" w:eastAsiaTheme="minorEastAsia"/>
                              <w:lang w:eastAsia="zh-CN"/>
                            </w:rPr>
                          </w:pP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separate"/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t>1</w:t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2"/>
                      <w:rPr>
                        <w:rFonts w:hint="eastAsia" w:eastAsiaTheme="minorEastAsia"/>
                        <w:lang w:eastAsia="zh-CN"/>
                      </w:rPr>
                    </w:pPr>
                    <w:r>
                      <w:rPr>
                        <w:rFonts w:hint="eastAsia"/>
                        <w:lang w:eastAsia="zh-CN"/>
                      </w:rPr>
                      <w:fldChar w:fldCharType="begin"/>
                    </w:r>
                    <w:r>
                      <w:rPr>
                        <w:rFonts w:hint="eastAsia"/>
                        <w:lang w:eastAsia="zh-CN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  <w:lang w:eastAsia="zh-CN"/>
                      </w:rPr>
                      <w:fldChar w:fldCharType="separate"/>
                    </w:r>
                    <w:r>
                      <w:rPr>
                        <w:rFonts w:hint="eastAsia"/>
                        <w:lang w:eastAsia="zh-CN"/>
                      </w:rPr>
                      <w:t>1</w:t>
                    </w:r>
                    <w:r>
                      <w:rPr>
                        <w:rFonts w:hint="eastAsia"/>
                        <w:lang w:eastAsia="zh-CN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jA2Nzc3ZTUxN2I0OTUzMTRjYzY3YzUzOWYwZjFjOWQifQ=="/>
  </w:docVars>
  <w:rsids>
    <w:rsidRoot w:val="00000000"/>
    <w:rsid w:val="07D71742"/>
    <w:rsid w:val="0F57730B"/>
    <w:rsid w:val="0FE067DB"/>
    <w:rsid w:val="1698263B"/>
    <w:rsid w:val="180F1848"/>
    <w:rsid w:val="1B9F4533"/>
    <w:rsid w:val="2B677C06"/>
    <w:rsid w:val="309D4AA7"/>
    <w:rsid w:val="3D012822"/>
    <w:rsid w:val="3E4653CF"/>
    <w:rsid w:val="429F7828"/>
    <w:rsid w:val="43B7082B"/>
    <w:rsid w:val="45F16807"/>
    <w:rsid w:val="478C7C72"/>
    <w:rsid w:val="4B414A37"/>
    <w:rsid w:val="4BBF2C43"/>
    <w:rsid w:val="4D7060F8"/>
    <w:rsid w:val="51576D58"/>
    <w:rsid w:val="64F15110"/>
    <w:rsid w:val="653119E1"/>
    <w:rsid w:val="68A84842"/>
    <w:rsid w:val="6A435ABC"/>
    <w:rsid w:val="6F9904E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jc w:val="left"/>
    </w:pPr>
    <w:rPr>
      <w:rFonts w:asciiTheme="minorHAnsi" w:hAnsiTheme="minorHAnsi" w:eastAsiaTheme="minorEastAsia" w:cstheme="minorBidi"/>
      <w:kern w:val="0"/>
      <w:sz w:val="24"/>
      <w:szCs w:val="24"/>
      <w:lang w:val="en-US" w:eastAsia="zh-CN" w:bidi="ar"/>
    </w:rPr>
  </w:style>
  <w:style w:type="character" w:default="1" w:styleId="6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3">
    <w:name w:val="Normal (Web)"/>
    <w:basedOn w:val="1"/>
    <w:qFormat/>
    <w:uiPriority w:val="0"/>
    <w:rPr>
      <w:sz w:val="24"/>
    </w:rPr>
  </w:style>
  <w:style w:type="table" w:styleId="5">
    <w:name w:val="Table Grid"/>
    <w:basedOn w:val="4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435</Words>
  <Characters>541</Characters>
  <Lines>0</Lines>
  <Paragraphs>0</Paragraphs>
  <TotalTime>4</TotalTime>
  <ScaleCrop>false</ScaleCrop>
  <LinksUpToDate>false</LinksUpToDate>
  <CharactersWithSpaces>641</CharactersWithSpaces>
  <Application>WPS Office_11.1.0.11636_F1E327BC-269C-435d-A152-05C5408002CA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Administrator</dc:creator>
  <cp:lastModifiedBy>ASUS</cp:lastModifiedBy>
  <dcterms:modified xsi:type="dcterms:W3CDTF">2022-04-26T07:22:25Z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2052-11.1.0.11636</vt:lpwstr>
  </property>
  <property fmtid="{D5CDD505-2E9C-101B-9397-08002B2CF9AE}" pid="3" name="ICV">
    <vt:lpwstr>41085AAB0DF243FC8B09CA2AF63EF7F1</vt:lpwstr>
  </property>
</Properties>
</file>