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/>
        <w:jc w:val="right"/>
        <w:rPr>
          <w:rFonts w:hint="eastAsia" w:ascii="Calibri" w:hAnsi="Calibri" w:eastAsia="宋体" w:cs="宋体"/>
          <w:kern w:val="2"/>
          <w:sz w:val="21"/>
          <w:szCs w:val="21"/>
          <w:bdr w:val="none" w:color="auto" w:sz="0" w:space="0"/>
        </w:rPr>
      </w:pPr>
    </w:p>
    <w:p>
      <w:pPr>
        <w:pStyle w:val="2"/>
        <w:bidi w:val="0"/>
        <w:jc w:val="center"/>
        <w:rPr>
          <w:rFonts w:hint="eastAsia" w:ascii="Calibri" w:hAnsi="Calibri" w:eastAsia="宋体" w:cs="宋体"/>
          <w:kern w:val="2"/>
          <w:sz w:val="21"/>
          <w:szCs w:val="21"/>
          <w:bdr w:val="none" w:color="auto" w:sz="0" w:space="0"/>
        </w:rPr>
      </w:pPr>
      <w:r>
        <w:rPr>
          <w:rFonts w:hint="eastAsia"/>
          <w:lang w:val="en-US" w:eastAsia="zh-CN"/>
        </w:rPr>
        <w:t>2022年遂溪县界炮镇政府部门三公经费预算</w:t>
      </w:r>
      <w:bookmarkStart w:id="22" w:name="_GoBack"/>
      <w:bookmarkEnd w:id="22"/>
      <w:r>
        <w:rPr>
          <w:rFonts w:hint="eastAsia"/>
          <w:lang w:val="en-US" w:eastAsia="zh-CN"/>
        </w:rPr>
        <w:t>增减情况说明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/>
        <w:jc w:val="right"/>
        <w:rPr>
          <w:rFonts w:hint="eastAsia" w:ascii="Calibri" w:hAnsi="Calibri" w:eastAsia="宋体" w:cs="宋体"/>
          <w:kern w:val="2"/>
          <w:sz w:val="21"/>
          <w:szCs w:val="21"/>
          <w:bdr w:val="none" w:color="auto" w:sz="0" w:space="0"/>
        </w:rPr>
      </w:pPr>
    </w:p>
    <w:tbl>
      <w:tblPr>
        <w:tblStyle w:val="4"/>
        <w:tblW w:w="951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710"/>
        <w:gridCol w:w="1874"/>
        <w:gridCol w:w="476"/>
        <w:gridCol w:w="1114"/>
        <w:gridCol w:w="1605"/>
        <w:gridCol w:w="174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6" w:hRule="atLeast"/>
        </w:trPr>
        <w:tc>
          <w:tcPr>
            <w:tcW w:w="9519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Calibri" w:hAnsi="Calibri" w:eastAsia="宋体" w:cs="宋体"/>
                <w:kern w:val="2"/>
                <w:sz w:val="21"/>
                <w:szCs w:val="21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财政拨款安排的行政经费及“三公”经费预算表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6" w:hRule="atLeast"/>
        </w:trPr>
        <w:tc>
          <w:tcPr>
            <w:tcW w:w="5060" w:type="dxa"/>
            <w:gridSpan w:val="3"/>
            <w:tcBorders>
              <w:top w:val="nil"/>
              <w:left w:val="nil"/>
              <w:bottom w:val="single" w:color="auto" w:sz="4" w:space="0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Calibri" w:hAnsi="Calibri" w:eastAsia="宋体" w:cs="宋体"/>
                <w:kern w:val="2"/>
                <w:sz w:val="21"/>
                <w:szCs w:val="21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单位名称：</w:t>
            </w:r>
            <w:bookmarkStart w:id="0" w:name="PO_part2Table8DivName1"/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 </w:t>
            </w:r>
            <w:bookmarkEnd w:id="0"/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遂溪县界炮镇人民政府 </w:t>
            </w:r>
          </w:p>
        </w:tc>
        <w:tc>
          <w:tcPr>
            <w:tcW w:w="4459" w:type="dxa"/>
            <w:gridSpan w:val="3"/>
            <w:tcBorders>
              <w:top w:val="nil"/>
              <w:left w:val="nil"/>
              <w:bottom w:val="single" w:color="auto" w:sz="4" w:space="0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right"/>
              <w:rPr>
                <w:rFonts w:hint="eastAsia" w:ascii="Calibri" w:hAnsi="Calibri" w:eastAsia="宋体" w:cs="宋体"/>
                <w:kern w:val="2"/>
                <w:sz w:val="21"/>
                <w:szCs w:val="21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单位：万元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6" w:hRule="atLeast"/>
        </w:trPr>
        <w:tc>
          <w:tcPr>
            <w:tcW w:w="2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18"/>
                <w:szCs w:val="18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项        目</w:t>
            </w:r>
          </w:p>
        </w:tc>
        <w:tc>
          <w:tcPr>
            <w:tcW w:w="18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18"/>
                <w:szCs w:val="18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合计</w:t>
            </w:r>
          </w:p>
        </w:tc>
        <w:tc>
          <w:tcPr>
            <w:tcW w:w="159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18"/>
                <w:szCs w:val="18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一般公共预算</w:t>
            </w:r>
          </w:p>
        </w:tc>
        <w:tc>
          <w:tcPr>
            <w:tcW w:w="16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18"/>
                <w:szCs w:val="18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政府性基金预算</w:t>
            </w:r>
          </w:p>
        </w:tc>
        <w:tc>
          <w:tcPr>
            <w:tcW w:w="17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18"/>
                <w:szCs w:val="18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国有资本经营预算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6" w:hRule="atLeast"/>
        </w:trPr>
        <w:tc>
          <w:tcPr>
            <w:tcW w:w="2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18"/>
                <w:szCs w:val="18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行政经费</w:t>
            </w:r>
          </w:p>
        </w:tc>
        <w:tc>
          <w:tcPr>
            <w:tcW w:w="18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right"/>
              <w:rPr>
                <w:rFonts w:hint="eastAsia" w:ascii="宋体" w:hAnsi="宋体" w:eastAsia="宋体" w:cs="宋体"/>
                <w:color w:val="000000"/>
                <w:kern w:val="2"/>
                <w:sz w:val="18"/>
                <w:szCs w:val="18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color w:val="000000"/>
                <w:kern w:val="2"/>
                <w:sz w:val="18"/>
                <w:szCs w:val="18"/>
                <w:bdr w:val="none" w:color="auto" w:sz="0" w:space="0"/>
                <w:lang w:val="en-US" w:eastAsia="zh-CN" w:bidi="ar"/>
              </w:rPr>
              <w:t>87.01</w:t>
            </w:r>
          </w:p>
        </w:tc>
        <w:tc>
          <w:tcPr>
            <w:tcW w:w="159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right"/>
              <w:rPr>
                <w:rFonts w:hint="default" w:ascii="Calibri" w:hAnsi="Calibri" w:cs="Calibri"/>
                <w:kern w:val="2"/>
                <w:sz w:val="18"/>
                <w:szCs w:val="18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color w:val="000000"/>
                <w:kern w:val="2"/>
                <w:sz w:val="18"/>
                <w:szCs w:val="18"/>
                <w:bdr w:val="none" w:color="auto" w:sz="0" w:space="0"/>
                <w:lang w:val="en-US" w:eastAsia="zh-CN" w:bidi="ar"/>
              </w:rPr>
              <w:t>87.01</w:t>
            </w:r>
          </w:p>
        </w:tc>
        <w:tc>
          <w:tcPr>
            <w:tcW w:w="16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right"/>
              <w:rPr>
                <w:rFonts w:hint="default" w:ascii="Calibri" w:hAnsi="Calibri" w:cs="Calibri"/>
                <w:kern w:val="2"/>
                <w:sz w:val="18"/>
                <w:szCs w:val="18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color w:val="000000"/>
                <w:kern w:val="2"/>
                <w:sz w:val="18"/>
                <w:szCs w:val="18"/>
                <w:bdr w:val="none" w:color="auto" w:sz="0" w:space="0"/>
                <w:lang w:val="en-US" w:eastAsia="zh-CN" w:bidi="ar"/>
              </w:rPr>
              <w:t>0.00</w:t>
            </w:r>
          </w:p>
        </w:tc>
        <w:tc>
          <w:tcPr>
            <w:tcW w:w="17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right"/>
              <w:rPr>
                <w:rFonts w:hint="default" w:ascii="Calibri" w:hAnsi="Calibri" w:cs="Calibri"/>
                <w:kern w:val="2"/>
                <w:sz w:val="18"/>
                <w:szCs w:val="18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color w:val="000000"/>
                <w:kern w:val="2"/>
                <w:sz w:val="18"/>
                <w:szCs w:val="18"/>
                <w:bdr w:val="none" w:color="auto" w:sz="0" w:space="0"/>
                <w:lang w:val="en-US" w:eastAsia="zh-CN" w:bidi="ar"/>
              </w:rPr>
              <w:t>0.00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6" w:hRule="atLeast"/>
        </w:trPr>
        <w:tc>
          <w:tcPr>
            <w:tcW w:w="2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18"/>
                <w:szCs w:val="18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“三公”经费</w:t>
            </w:r>
          </w:p>
        </w:tc>
        <w:tc>
          <w:tcPr>
            <w:tcW w:w="18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right"/>
              <w:rPr>
                <w:rFonts w:hint="default" w:ascii="Calibri" w:hAnsi="Calibri" w:eastAsia="宋体" w:cs="Calibri"/>
                <w:kern w:val="2"/>
                <w:sz w:val="18"/>
                <w:szCs w:val="18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color w:val="000000"/>
                <w:kern w:val="2"/>
                <w:sz w:val="18"/>
                <w:szCs w:val="18"/>
                <w:bdr w:val="none" w:color="auto" w:sz="0" w:space="0"/>
                <w:lang w:val="en-US" w:eastAsia="zh-CN" w:bidi="ar"/>
              </w:rPr>
              <w:t>16.00</w:t>
            </w:r>
          </w:p>
        </w:tc>
        <w:tc>
          <w:tcPr>
            <w:tcW w:w="159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right"/>
              <w:rPr>
                <w:rFonts w:hint="default" w:ascii="Calibri" w:hAnsi="Calibri" w:cs="Calibri"/>
                <w:kern w:val="2"/>
                <w:sz w:val="18"/>
                <w:szCs w:val="18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color w:val="000000"/>
                <w:kern w:val="2"/>
                <w:sz w:val="18"/>
                <w:szCs w:val="18"/>
                <w:bdr w:val="none" w:color="auto" w:sz="0" w:space="0"/>
                <w:lang w:val="en-US" w:eastAsia="zh-CN" w:bidi="ar"/>
              </w:rPr>
              <w:t>16.00</w:t>
            </w:r>
          </w:p>
        </w:tc>
        <w:tc>
          <w:tcPr>
            <w:tcW w:w="16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right"/>
              <w:rPr>
                <w:rFonts w:hint="default" w:ascii="Calibri" w:hAnsi="Calibri" w:cs="Calibri"/>
                <w:kern w:val="2"/>
                <w:sz w:val="18"/>
                <w:szCs w:val="18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color w:val="000000"/>
                <w:kern w:val="2"/>
                <w:sz w:val="18"/>
                <w:szCs w:val="18"/>
                <w:bdr w:val="none" w:color="auto" w:sz="0" w:space="0"/>
                <w:lang w:val="en-US" w:eastAsia="zh-CN" w:bidi="ar"/>
              </w:rPr>
              <w:t>0.00</w:t>
            </w:r>
          </w:p>
        </w:tc>
        <w:tc>
          <w:tcPr>
            <w:tcW w:w="17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right"/>
              <w:rPr>
                <w:rFonts w:hint="default" w:ascii="Calibri" w:hAnsi="Calibri" w:cs="Calibri"/>
                <w:kern w:val="2"/>
                <w:sz w:val="18"/>
                <w:szCs w:val="18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color w:val="000000"/>
                <w:kern w:val="2"/>
                <w:sz w:val="18"/>
                <w:szCs w:val="18"/>
                <w:bdr w:val="none" w:color="auto" w:sz="0" w:space="0"/>
                <w:lang w:val="en-US" w:eastAsia="zh-CN" w:bidi="ar"/>
              </w:rPr>
              <w:t>0.00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6" w:hRule="atLeast"/>
        </w:trPr>
        <w:tc>
          <w:tcPr>
            <w:tcW w:w="2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18"/>
                <w:szCs w:val="18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 其中：（一）因公出国（境）支出</w:t>
            </w:r>
          </w:p>
        </w:tc>
        <w:tc>
          <w:tcPr>
            <w:tcW w:w="18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right"/>
              <w:rPr>
                <w:rFonts w:hint="default" w:ascii="Calibri" w:hAnsi="Calibri" w:cs="Calibri"/>
                <w:kern w:val="2"/>
                <w:sz w:val="18"/>
                <w:szCs w:val="18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color w:val="000000"/>
                <w:kern w:val="2"/>
                <w:sz w:val="18"/>
                <w:szCs w:val="18"/>
                <w:bdr w:val="none" w:color="auto" w:sz="0" w:space="0"/>
                <w:lang w:val="en-US" w:eastAsia="zh-CN" w:bidi="ar"/>
              </w:rPr>
              <w:t>0.00</w:t>
            </w:r>
          </w:p>
        </w:tc>
        <w:tc>
          <w:tcPr>
            <w:tcW w:w="159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right"/>
              <w:rPr>
                <w:rFonts w:hint="default" w:ascii="Calibri" w:hAnsi="Calibri" w:cs="Calibri"/>
                <w:kern w:val="2"/>
                <w:sz w:val="18"/>
                <w:szCs w:val="18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color w:val="000000"/>
                <w:kern w:val="2"/>
                <w:sz w:val="18"/>
                <w:szCs w:val="18"/>
                <w:bdr w:val="none" w:color="auto" w:sz="0" w:space="0"/>
                <w:lang w:val="en-US" w:eastAsia="zh-CN" w:bidi="ar"/>
              </w:rPr>
              <w:t>0.00</w:t>
            </w:r>
          </w:p>
        </w:tc>
        <w:tc>
          <w:tcPr>
            <w:tcW w:w="16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right"/>
              <w:rPr>
                <w:rFonts w:hint="default" w:ascii="Calibri" w:hAnsi="Calibri" w:cs="Calibri"/>
                <w:kern w:val="2"/>
                <w:sz w:val="18"/>
                <w:szCs w:val="18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color w:val="000000"/>
                <w:kern w:val="2"/>
                <w:sz w:val="18"/>
                <w:szCs w:val="18"/>
                <w:bdr w:val="none" w:color="auto" w:sz="0" w:space="0"/>
                <w:lang w:val="en-US" w:eastAsia="zh-CN" w:bidi="ar"/>
              </w:rPr>
              <w:t>0.00</w:t>
            </w:r>
          </w:p>
        </w:tc>
        <w:tc>
          <w:tcPr>
            <w:tcW w:w="17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right"/>
              <w:rPr>
                <w:rFonts w:hint="default" w:ascii="Calibri" w:hAnsi="Calibri" w:cs="Calibri"/>
                <w:kern w:val="2"/>
                <w:sz w:val="18"/>
                <w:szCs w:val="18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color w:val="000000"/>
                <w:kern w:val="2"/>
                <w:sz w:val="18"/>
                <w:szCs w:val="18"/>
                <w:bdr w:val="none" w:color="auto" w:sz="0" w:space="0"/>
                <w:lang w:val="en-US" w:eastAsia="zh-CN" w:bidi="ar"/>
              </w:rPr>
              <w:t>0.00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6" w:hRule="atLeast"/>
        </w:trPr>
        <w:tc>
          <w:tcPr>
            <w:tcW w:w="2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18"/>
                <w:szCs w:val="18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 （二）公务用车购置及运行维护支出</w:t>
            </w:r>
          </w:p>
        </w:tc>
        <w:tc>
          <w:tcPr>
            <w:tcW w:w="18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right"/>
              <w:rPr>
                <w:rFonts w:hint="default" w:ascii="Calibri" w:hAnsi="Calibri" w:eastAsia="宋体" w:cs="Calibri"/>
                <w:kern w:val="2"/>
                <w:sz w:val="18"/>
                <w:szCs w:val="18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color w:val="000000"/>
                <w:kern w:val="2"/>
                <w:sz w:val="18"/>
                <w:szCs w:val="18"/>
                <w:bdr w:val="none" w:color="auto" w:sz="0" w:space="0"/>
                <w:lang w:val="en-US" w:eastAsia="zh-CN" w:bidi="ar"/>
              </w:rPr>
              <w:t>12.00</w:t>
            </w:r>
          </w:p>
        </w:tc>
        <w:tc>
          <w:tcPr>
            <w:tcW w:w="159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right"/>
              <w:rPr>
                <w:rFonts w:hint="default" w:ascii="Calibri" w:hAnsi="Calibri" w:cs="Calibri"/>
                <w:kern w:val="2"/>
                <w:sz w:val="18"/>
                <w:szCs w:val="18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color w:val="000000"/>
                <w:kern w:val="2"/>
                <w:sz w:val="18"/>
                <w:szCs w:val="18"/>
                <w:bdr w:val="none" w:color="auto" w:sz="0" w:space="0"/>
                <w:lang w:val="en-US" w:eastAsia="zh-CN" w:bidi="ar"/>
              </w:rPr>
              <w:t>12.00</w:t>
            </w:r>
          </w:p>
        </w:tc>
        <w:tc>
          <w:tcPr>
            <w:tcW w:w="16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right"/>
              <w:rPr>
                <w:rFonts w:hint="default" w:ascii="Calibri" w:hAnsi="Calibri" w:cs="Calibri"/>
                <w:kern w:val="2"/>
                <w:sz w:val="18"/>
                <w:szCs w:val="18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color w:val="000000"/>
                <w:kern w:val="2"/>
                <w:sz w:val="18"/>
                <w:szCs w:val="18"/>
                <w:bdr w:val="none" w:color="auto" w:sz="0" w:space="0"/>
                <w:lang w:val="en-US" w:eastAsia="zh-CN" w:bidi="ar"/>
              </w:rPr>
              <w:t>0.00</w:t>
            </w:r>
          </w:p>
        </w:tc>
        <w:tc>
          <w:tcPr>
            <w:tcW w:w="17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right"/>
              <w:rPr>
                <w:rFonts w:hint="default" w:ascii="Calibri" w:hAnsi="Calibri" w:cs="Calibri"/>
                <w:kern w:val="2"/>
                <w:sz w:val="18"/>
                <w:szCs w:val="18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color w:val="000000"/>
                <w:kern w:val="2"/>
                <w:sz w:val="18"/>
                <w:szCs w:val="18"/>
                <w:bdr w:val="none" w:color="auto" w:sz="0" w:space="0"/>
                <w:lang w:val="en-US" w:eastAsia="zh-CN" w:bidi="ar"/>
              </w:rPr>
              <w:t>0.00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6" w:hRule="atLeast"/>
        </w:trPr>
        <w:tc>
          <w:tcPr>
            <w:tcW w:w="2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18"/>
                <w:szCs w:val="18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 1.公务用车购置</w:t>
            </w:r>
          </w:p>
        </w:tc>
        <w:tc>
          <w:tcPr>
            <w:tcW w:w="18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right"/>
              <w:rPr>
                <w:rFonts w:hint="default" w:ascii="Calibri" w:hAnsi="Calibri" w:cs="Calibri"/>
                <w:kern w:val="2"/>
                <w:sz w:val="18"/>
                <w:szCs w:val="18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color w:val="000000"/>
                <w:kern w:val="2"/>
                <w:sz w:val="18"/>
                <w:szCs w:val="18"/>
                <w:bdr w:val="none" w:color="auto" w:sz="0" w:space="0"/>
                <w:lang w:val="en-US" w:eastAsia="zh-CN" w:bidi="ar"/>
              </w:rPr>
              <w:t>0.00</w:t>
            </w:r>
          </w:p>
        </w:tc>
        <w:tc>
          <w:tcPr>
            <w:tcW w:w="159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right"/>
              <w:rPr>
                <w:rFonts w:hint="default" w:ascii="Calibri" w:hAnsi="Calibri" w:cs="Calibri"/>
                <w:kern w:val="2"/>
                <w:sz w:val="18"/>
                <w:szCs w:val="18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color w:val="000000"/>
                <w:kern w:val="2"/>
                <w:sz w:val="18"/>
                <w:szCs w:val="18"/>
                <w:bdr w:val="none" w:color="auto" w:sz="0" w:space="0"/>
                <w:lang w:val="en-US" w:eastAsia="zh-CN" w:bidi="ar"/>
              </w:rPr>
              <w:t>0.00</w:t>
            </w:r>
          </w:p>
        </w:tc>
        <w:tc>
          <w:tcPr>
            <w:tcW w:w="16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right"/>
              <w:rPr>
                <w:rFonts w:hint="default" w:ascii="Calibri" w:hAnsi="Calibri" w:cs="Calibri"/>
                <w:kern w:val="2"/>
                <w:sz w:val="18"/>
                <w:szCs w:val="18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color w:val="000000"/>
                <w:kern w:val="2"/>
                <w:sz w:val="18"/>
                <w:szCs w:val="18"/>
                <w:bdr w:val="none" w:color="auto" w:sz="0" w:space="0"/>
                <w:lang w:val="en-US" w:eastAsia="zh-CN" w:bidi="ar"/>
              </w:rPr>
              <w:t>0.00</w:t>
            </w:r>
          </w:p>
        </w:tc>
        <w:tc>
          <w:tcPr>
            <w:tcW w:w="17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right"/>
              <w:rPr>
                <w:rFonts w:hint="default" w:ascii="Calibri" w:hAnsi="Calibri" w:cs="Calibri"/>
                <w:kern w:val="2"/>
                <w:sz w:val="18"/>
                <w:szCs w:val="18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color w:val="000000"/>
                <w:kern w:val="2"/>
                <w:sz w:val="18"/>
                <w:szCs w:val="18"/>
                <w:bdr w:val="none" w:color="auto" w:sz="0" w:space="0"/>
                <w:lang w:val="en-US" w:eastAsia="zh-CN" w:bidi="ar"/>
              </w:rPr>
              <w:t>0.00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6" w:hRule="atLeast"/>
        </w:trPr>
        <w:tc>
          <w:tcPr>
            <w:tcW w:w="2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18"/>
                <w:szCs w:val="18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 2.公务用车运行维护费</w:t>
            </w:r>
          </w:p>
        </w:tc>
        <w:tc>
          <w:tcPr>
            <w:tcW w:w="18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right"/>
              <w:rPr>
                <w:rFonts w:hint="default" w:ascii="Calibri" w:hAnsi="Calibri" w:cs="Calibri"/>
                <w:kern w:val="2"/>
                <w:sz w:val="18"/>
                <w:szCs w:val="18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color w:val="000000"/>
                <w:kern w:val="2"/>
                <w:sz w:val="18"/>
                <w:szCs w:val="18"/>
                <w:bdr w:val="none" w:color="auto" w:sz="0" w:space="0"/>
                <w:lang w:val="en-US" w:eastAsia="zh-CN" w:bidi="ar"/>
              </w:rPr>
              <w:t>12.00</w:t>
            </w:r>
          </w:p>
        </w:tc>
        <w:tc>
          <w:tcPr>
            <w:tcW w:w="159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right"/>
              <w:rPr>
                <w:rFonts w:hint="default" w:ascii="Calibri" w:hAnsi="Calibri" w:cs="Calibri"/>
                <w:kern w:val="2"/>
                <w:sz w:val="18"/>
                <w:szCs w:val="18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color w:val="000000"/>
                <w:kern w:val="2"/>
                <w:sz w:val="18"/>
                <w:szCs w:val="18"/>
                <w:bdr w:val="none" w:color="auto" w:sz="0" w:space="0"/>
                <w:lang w:val="en-US" w:eastAsia="zh-CN" w:bidi="ar"/>
              </w:rPr>
              <w:t>12.00</w:t>
            </w:r>
          </w:p>
        </w:tc>
        <w:tc>
          <w:tcPr>
            <w:tcW w:w="16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right"/>
              <w:rPr>
                <w:rFonts w:hint="default" w:ascii="Calibri" w:hAnsi="Calibri" w:cs="Calibri"/>
                <w:kern w:val="2"/>
                <w:sz w:val="18"/>
                <w:szCs w:val="18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color w:val="000000"/>
                <w:kern w:val="2"/>
                <w:sz w:val="18"/>
                <w:szCs w:val="18"/>
                <w:bdr w:val="none" w:color="auto" w:sz="0" w:space="0"/>
                <w:lang w:val="en-US" w:eastAsia="zh-CN" w:bidi="ar"/>
              </w:rPr>
              <w:t>0.00</w:t>
            </w:r>
          </w:p>
        </w:tc>
        <w:tc>
          <w:tcPr>
            <w:tcW w:w="17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right"/>
              <w:rPr>
                <w:rFonts w:hint="default" w:ascii="Calibri" w:hAnsi="Calibri" w:cs="Calibri"/>
                <w:kern w:val="2"/>
                <w:sz w:val="18"/>
                <w:szCs w:val="18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color w:val="000000"/>
                <w:kern w:val="2"/>
                <w:sz w:val="18"/>
                <w:szCs w:val="18"/>
                <w:bdr w:val="none" w:color="auto" w:sz="0" w:space="0"/>
                <w:lang w:val="en-US" w:eastAsia="zh-CN" w:bidi="ar"/>
              </w:rPr>
              <w:t>0.00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6" w:hRule="atLeast"/>
        </w:trPr>
        <w:tc>
          <w:tcPr>
            <w:tcW w:w="2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18"/>
                <w:szCs w:val="18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（三）公务接待费支出</w:t>
            </w:r>
          </w:p>
        </w:tc>
        <w:tc>
          <w:tcPr>
            <w:tcW w:w="18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right"/>
              <w:rPr>
                <w:rFonts w:hint="default" w:ascii="Calibri" w:hAnsi="Calibri" w:cs="Calibri"/>
                <w:kern w:val="2"/>
                <w:sz w:val="18"/>
                <w:szCs w:val="18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color w:val="000000"/>
                <w:kern w:val="2"/>
                <w:sz w:val="18"/>
                <w:szCs w:val="18"/>
                <w:bdr w:val="none" w:color="auto" w:sz="0" w:space="0"/>
                <w:lang w:val="en-US" w:eastAsia="zh-CN" w:bidi="ar"/>
              </w:rPr>
              <w:t>4.00</w:t>
            </w:r>
          </w:p>
        </w:tc>
        <w:tc>
          <w:tcPr>
            <w:tcW w:w="159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right"/>
              <w:rPr>
                <w:rFonts w:hint="default" w:ascii="Calibri" w:hAnsi="Calibri" w:cs="Calibri"/>
                <w:kern w:val="2"/>
                <w:sz w:val="18"/>
                <w:szCs w:val="18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color w:val="000000"/>
                <w:kern w:val="2"/>
                <w:sz w:val="18"/>
                <w:szCs w:val="18"/>
                <w:bdr w:val="none" w:color="auto" w:sz="0" w:space="0"/>
                <w:lang w:val="en-US" w:eastAsia="zh-CN" w:bidi="ar"/>
              </w:rPr>
              <w:t>4.00</w:t>
            </w:r>
          </w:p>
        </w:tc>
        <w:tc>
          <w:tcPr>
            <w:tcW w:w="16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right"/>
              <w:rPr>
                <w:rFonts w:hint="default" w:ascii="Calibri" w:hAnsi="Calibri" w:cs="Calibri"/>
                <w:kern w:val="2"/>
                <w:sz w:val="18"/>
                <w:szCs w:val="18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color w:val="000000"/>
                <w:kern w:val="2"/>
                <w:sz w:val="18"/>
                <w:szCs w:val="18"/>
                <w:bdr w:val="none" w:color="auto" w:sz="0" w:space="0"/>
                <w:lang w:val="en-US" w:eastAsia="zh-CN" w:bidi="ar"/>
              </w:rPr>
              <w:t>0.00</w:t>
            </w:r>
          </w:p>
        </w:tc>
        <w:tc>
          <w:tcPr>
            <w:tcW w:w="17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right"/>
              <w:rPr>
                <w:rFonts w:hint="default" w:ascii="Calibri" w:hAnsi="Calibri" w:cs="Calibri"/>
                <w:kern w:val="2"/>
                <w:sz w:val="18"/>
                <w:szCs w:val="18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color w:val="000000"/>
                <w:kern w:val="2"/>
                <w:sz w:val="18"/>
                <w:szCs w:val="18"/>
                <w:bdr w:val="none" w:color="auto" w:sz="0" w:space="0"/>
                <w:lang w:val="en-US" w:eastAsia="zh-CN" w:bidi="ar"/>
              </w:rPr>
              <w:t>0.00</w:t>
            </w:r>
          </w:p>
        </w:tc>
      </w:tr>
    </w:tbl>
    <w:p>
      <w:pPr>
        <w:rPr>
          <w:rFonts w:hint="eastAsia" w:ascii="宋体" w:hAnsi="宋体" w:eastAsia="宋体" w:cs="宋体"/>
          <w:color w:val="000000"/>
          <w:kern w:val="0"/>
          <w:sz w:val="18"/>
          <w:szCs w:val="18"/>
          <w:lang w:eastAsia="zh-CN" w:bidi="ar"/>
        </w:rPr>
      </w:pPr>
      <w:r>
        <w:rPr>
          <w:rFonts w:hint="eastAsia" w:ascii="宋体" w:hAnsi="宋体" w:cs="宋体"/>
          <w:color w:val="000000"/>
          <w:kern w:val="0"/>
          <w:sz w:val="18"/>
          <w:szCs w:val="18"/>
          <w:lang w:bidi="ar"/>
        </w:rPr>
        <w:t xml:space="preserve">注： </w:t>
      </w:r>
      <w:r>
        <w:rPr>
          <w:rFonts w:hint="eastAsia" w:ascii="宋体" w:hAnsi="宋体" w:eastAsia="宋体" w:cs="宋体"/>
          <w:color w:val="000000"/>
          <w:kern w:val="0"/>
          <w:sz w:val="18"/>
          <w:szCs w:val="18"/>
          <w:lang w:eastAsia="zh-CN" w:bidi="ar"/>
        </w:rPr>
        <w:t>无</w:t>
      </w:r>
    </w:p>
    <w:p>
      <w:pPr>
        <w:rPr>
          <w:rFonts w:hint="eastAsia" w:ascii="宋体" w:hAnsi="宋体" w:eastAsia="宋体" w:cs="宋体"/>
          <w:color w:val="000000"/>
          <w:kern w:val="0"/>
          <w:sz w:val="18"/>
          <w:szCs w:val="18"/>
          <w:lang w:eastAsia="zh-CN" w:bidi="ar"/>
        </w:rPr>
      </w:pPr>
    </w:p>
    <w:p>
      <w:pPr>
        <w:rPr>
          <w:rFonts w:hint="eastAsia" w:ascii="宋体" w:hAnsi="宋体" w:eastAsia="宋体" w:cs="宋体"/>
          <w:color w:val="000000"/>
          <w:kern w:val="0"/>
          <w:sz w:val="18"/>
          <w:szCs w:val="18"/>
          <w:lang w:eastAsia="zh-CN" w:bidi="ar"/>
        </w:rPr>
      </w:pPr>
    </w:p>
    <w:p>
      <w:pPr>
        <w:rPr>
          <w:rFonts w:hint="eastAsia" w:ascii="宋体" w:hAnsi="宋体" w:eastAsia="宋体" w:cs="宋体"/>
          <w:color w:val="000000"/>
          <w:kern w:val="0"/>
          <w:sz w:val="18"/>
          <w:szCs w:val="18"/>
          <w:lang w:eastAsia="zh-CN" w:bidi="ar"/>
        </w:rPr>
      </w:pPr>
    </w:p>
    <w:p>
      <w:pPr>
        <w:numPr>
          <w:numId w:val="0"/>
        </w:numPr>
        <w:rPr>
          <w:rFonts w:hint="eastAsia" w:ascii="宋体" w:hAnsi="宋体" w:eastAsia="宋体" w:cs="宋体"/>
          <w:sz w:val="32"/>
          <w:szCs w:val="32"/>
        </w:rPr>
      </w:pPr>
      <w:bookmarkStart w:id="1" w:name="PO_part3A2Year1"/>
      <w:r>
        <w:rPr>
          <w:rFonts w:hint="eastAsia" w:ascii="黑体" w:hAnsi="黑体" w:eastAsia="黑体" w:cs="黑体"/>
          <w:sz w:val="32"/>
          <w:szCs w:val="32"/>
        </w:rPr>
        <w:t>“三公”经费安排情况</w:t>
      </w:r>
    </w:p>
    <w:bookmarkEnd w:id="1"/>
    <w:p>
      <w:pPr>
        <w:ind w:firstLine="640" w:firstLineChars="200"/>
        <w:rPr>
          <w:rFonts w:hint="eastAsia" w:ascii="宋体" w:hAnsi="宋体" w:eastAsia="宋体" w:cs="宋体"/>
          <w:sz w:val="32"/>
          <w:szCs w:val="32"/>
          <w:lang w:eastAsia="zh-CN"/>
        </w:rPr>
      </w:pP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2022</w:t>
      </w:r>
      <w:r>
        <w:rPr>
          <w:rFonts w:hint="eastAsia" w:ascii="宋体" w:hAnsi="宋体" w:eastAsia="宋体" w:cs="宋体"/>
          <w:sz w:val="32"/>
          <w:szCs w:val="32"/>
          <w:lang w:eastAsia="zh-CN"/>
        </w:rPr>
        <w:t xml:space="preserve"> 年本部门财政拨款安排“三公”经费</w:t>
      </w:r>
      <w:bookmarkStart w:id="2" w:name="PO_part3A2Amount1"/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16</w:t>
      </w:r>
      <w:r>
        <w:rPr>
          <w:rFonts w:hint="eastAsia" w:ascii="宋体" w:hAnsi="宋体" w:eastAsia="宋体" w:cs="宋体"/>
          <w:sz w:val="32"/>
          <w:szCs w:val="32"/>
          <w:lang w:eastAsia="zh-CN"/>
        </w:rPr>
        <w:t xml:space="preserve"> </w:t>
      </w:r>
      <w:bookmarkEnd w:id="2"/>
      <w:r>
        <w:rPr>
          <w:rFonts w:hint="eastAsia" w:ascii="宋体" w:hAnsi="宋体" w:eastAsia="宋体" w:cs="宋体"/>
          <w:sz w:val="32"/>
          <w:szCs w:val="32"/>
          <w:lang w:eastAsia="zh-CN"/>
        </w:rPr>
        <w:t>万元，比上年</w:t>
      </w:r>
      <w:bookmarkStart w:id="3" w:name="PO_part3A2IncAmount1"/>
      <w:r>
        <w:rPr>
          <w:rFonts w:hint="eastAsia" w:ascii="宋体" w:hAnsi="宋体" w:eastAsia="宋体" w:cs="宋体"/>
          <w:sz w:val="32"/>
          <w:szCs w:val="32"/>
          <w:lang w:eastAsia="zh-CN"/>
        </w:rPr>
        <w:t>增加</w:t>
      </w: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0</w:t>
      </w:r>
      <w:bookmarkEnd w:id="3"/>
      <w:r>
        <w:rPr>
          <w:rFonts w:hint="eastAsia" w:ascii="宋体" w:hAnsi="宋体" w:eastAsia="宋体" w:cs="宋体"/>
          <w:sz w:val="32"/>
          <w:szCs w:val="32"/>
          <w:lang w:eastAsia="zh-CN"/>
        </w:rPr>
        <w:t>万元，</w:t>
      </w:r>
      <w:bookmarkStart w:id="4" w:name="PO_part3A2IncPercent1"/>
      <w:r>
        <w:rPr>
          <w:rFonts w:hint="eastAsia" w:ascii="宋体" w:hAnsi="宋体" w:eastAsia="宋体" w:cs="宋体"/>
          <w:sz w:val="32"/>
          <w:szCs w:val="32"/>
          <w:lang w:eastAsia="zh-CN"/>
        </w:rPr>
        <w:t>增长</w:t>
      </w: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0</w:t>
      </w:r>
      <w:bookmarkEnd w:id="4"/>
      <w:r>
        <w:rPr>
          <w:rFonts w:hint="eastAsia" w:ascii="宋体" w:hAnsi="宋体" w:eastAsia="宋体" w:cs="宋体"/>
          <w:sz w:val="32"/>
          <w:szCs w:val="32"/>
          <w:lang w:eastAsia="zh-CN"/>
        </w:rPr>
        <w:t>%，主要原因是</w:t>
      </w:r>
      <w:bookmarkStart w:id="5" w:name="PO_part3A2IncReason1"/>
      <w:r>
        <w:rPr>
          <w:rFonts w:hint="eastAsia" w:ascii="宋体" w:hAnsi="宋体" w:eastAsia="宋体" w:cs="宋体"/>
          <w:sz w:val="32"/>
          <w:szCs w:val="32"/>
          <w:lang w:eastAsia="zh-CN"/>
        </w:rPr>
        <w:t>与上年持平，无增减变化</w:t>
      </w:r>
      <w:bookmarkEnd w:id="5"/>
      <w:r>
        <w:rPr>
          <w:rFonts w:hint="eastAsia" w:ascii="宋体" w:hAnsi="宋体" w:eastAsia="宋体" w:cs="宋体"/>
          <w:sz w:val="32"/>
          <w:szCs w:val="32"/>
          <w:lang w:eastAsia="zh-CN"/>
        </w:rPr>
        <w:t>。其中：因公出国（境）费</w:t>
      </w:r>
      <w:bookmarkStart w:id="6" w:name="PO_part3A2Amount2"/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0</w:t>
      </w:r>
      <w:bookmarkEnd w:id="6"/>
      <w:r>
        <w:rPr>
          <w:rFonts w:hint="eastAsia" w:ascii="宋体" w:hAnsi="宋体" w:eastAsia="宋体" w:cs="宋体"/>
          <w:sz w:val="32"/>
          <w:szCs w:val="32"/>
          <w:lang w:eastAsia="zh-CN"/>
        </w:rPr>
        <w:t>万元，比上年</w:t>
      </w:r>
      <w:bookmarkStart w:id="7" w:name="PO_part3A2IncAmount2"/>
      <w:r>
        <w:rPr>
          <w:rFonts w:hint="eastAsia" w:ascii="宋体" w:hAnsi="宋体" w:eastAsia="宋体" w:cs="宋体"/>
          <w:sz w:val="32"/>
          <w:szCs w:val="32"/>
          <w:lang w:eastAsia="zh-CN"/>
        </w:rPr>
        <w:t>增加</w:t>
      </w: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0</w:t>
      </w:r>
      <w:bookmarkEnd w:id="7"/>
      <w:r>
        <w:rPr>
          <w:rFonts w:hint="eastAsia" w:ascii="宋体" w:hAnsi="宋体" w:eastAsia="宋体" w:cs="宋体"/>
          <w:sz w:val="32"/>
          <w:szCs w:val="32"/>
          <w:lang w:eastAsia="zh-CN"/>
        </w:rPr>
        <w:t>万元，</w:t>
      </w:r>
      <w:bookmarkStart w:id="8" w:name="PO_part3A2IncPercent2"/>
      <w:r>
        <w:rPr>
          <w:rFonts w:hint="eastAsia" w:ascii="宋体" w:hAnsi="宋体" w:eastAsia="宋体" w:cs="宋体"/>
          <w:sz w:val="32"/>
          <w:szCs w:val="32"/>
          <w:lang w:eastAsia="zh-CN"/>
        </w:rPr>
        <w:t>增长</w:t>
      </w: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0</w:t>
      </w:r>
      <w:r>
        <w:rPr>
          <w:rFonts w:hint="eastAsia" w:ascii="宋体" w:hAnsi="宋体" w:eastAsia="宋体" w:cs="宋体"/>
          <w:sz w:val="32"/>
          <w:szCs w:val="32"/>
          <w:lang w:eastAsia="zh-CN"/>
        </w:rPr>
        <w:t xml:space="preserve"> </w:t>
      </w:r>
      <w:bookmarkEnd w:id="8"/>
      <w:r>
        <w:rPr>
          <w:rFonts w:hint="eastAsia" w:ascii="宋体" w:hAnsi="宋体" w:eastAsia="宋体" w:cs="宋体"/>
          <w:sz w:val="32"/>
          <w:szCs w:val="32"/>
          <w:lang w:eastAsia="zh-CN"/>
        </w:rPr>
        <w:t>%，主要原因是</w:t>
      </w:r>
      <w:bookmarkStart w:id="9" w:name="PO_part3A2IncReason2"/>
      <w:r>
        <w:rPr>
          <w:rFonts w:hint="eastAsia" w:ascii="宋体" w:hAnsi="宋体" w:eastAsia="宋体" w:cs="宋体"/>
          <w:sz w:val="32"/>
          <w:szCs w:val="32"/>
          <w:lang w:eastAsia="zh-CN"/>
        </w:rPr>
        <w:t xml:space="preserve">与上年持平，无增减变化 </w:t>
      </w:r>
      <w:bookmarkEnd w:id="9"/>
      <w:r>
        <w:rPr>
          <w:rFonts w:hint="eastAsia" w:ascii="宋体" w:hAnsi="宋体" w:eastAsia="宋体" w:cs="宋体"/>
          <w:sz w:val="32"/>
          <w:szCs w:val="32"/>
          <w:lang w:eastAsia="zh-CN"/>
        </w:rPr>
        <w:t>；公务用车购置及运行费</w:t>
      </w:r>
      <w:bookmarkStart w:id="10" w:name="PO_part3A2Amount3"/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0</w:t>
      </w:r>
      <w:bookmarkEnd w:id="10"/>
      <w:r>
        <w:rPr>
          <w:rFonts w:hint="eastAsia" w:ascii="宋体" w:hAnsi="宋体" w:eastAsia="宋体" w:cs="宋体"/>
          <w:sz w:val="32"/>
          <w:szCs w:val="32"/>
          <w:lang w:eastAsia="zh-CN"/>
        </w:rPr>
        <w:t>万元（公务用车购置费</w:t>
      </w:r>
      <w:bookmarkStart w:id="11" w:name="PO_part3A2Amount4"/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0</w:t>
      </w:r>
      <w:bookmarkEnd w:id="11"/>
      <w:r>
        <w:rPr>
          <w:rFonts w:hint="eastAsia" w:ascii="宋体" w:hAnsi="宋体" w:eastAsia="宋体" w:cs="宋体"/>
          <w:sz w:val="32"/>
          <w:szCs w:val="32"/>
          <w:lang w:eastAsia="zh-CN"/>
        </w:rPr>
        <w:t>万元，比上年</w:t>
      </w:r>
      <w:bookmarkStart w:id="12" w:name="PO_part3A2IncAmount5"/>
      <w:r>
        <w:rPr>
          <w:rFonts w:hint="eastAsia" w:ascii="宋体" w:hAnsi="宋体" w:eastAsia="宋体" w:cs="宋体"/>
          <w:sz w:val="32"/>
          <w:szCs w:val="32"/>
          <w:lang w:eastAsia="zh-CN"/>
        </w:rPr>
        <w:t>增加</w:t>
      </w: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0</w:t>
      </w:r>
      <w:bookmarkEnd w:id="12"/>
      <w:r>
        <w:rPr>
          <w:rFonts w:hint="eastAsia" w:ascii="宋体" w:hAnsi="宋体" w:eastAsia="宋体" w:cs="宋体"/>
          <w:sz w:val="32"/>
          <w:szCs w:val="32"/>
          <w:lang w:eastAsia="zh-CN"/>
        </w:rPr>
        <w:t>万元；公务用车运行维护费</w:t>
      </w:r>
      <w:bookmarkStart w:id="13" w:name="PO_part3A2Amount5"/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12</w:t>
      </w:r>
      <w:r>
        <w:rPr>
          <w:rFonts w:hint="eastAsia" w:ascii="宋体" w:hAnsi="宋体" w:eastAsia="宋体" w:cs="宋体"/>
          <w:sz w:val="32"/>
          <w:szCs w:val="32"/>
          <w:lang w:eastAsia="zh-CN"/>
        </w:rPr>
        <w:t xml:space="preserve"> </w:t>
      </w:r>
      <w:bookmarkEnd w:id="13"/>
      <w:r>
        <w:rPr>
          <w:rFonts w:hint="eastAsia" w:ascii="宋体" w:hAnsi="宋体" w:eastAsia="宋体" w:cs="宋体"/>
          <w:sz w:val="32"/>
          <w:szCs w:val="32"/>
          <w:lang w:eastAsia="zh-CN"/>
        </w:rPr>
        <w:t>万元，比上年</w:t>
      </w:r>
      <w:bookmarkStart w:id="14" w:name="PO_part3A2IncAmount6"/>
      <w:r>
        <w:rPr>
          <w:rFonts w:hint="eastAsia" w:ascii="宋体" w:hAnsi="宋体" w:eastAsia="宋体" w:cs="宋体"/>
          <w:sz w:val="32"/>
          <w:szCs w:val="32"/>
          <w:lang w:eastAsia="zh-CN"/>
        </w:rPr>
        <w:t xml:space="preserve">增加 </w:t>
      </w:r>
      <w:bookmarkEnd w:id="14"/>
      <w:r>
        <w:rPr>
          <w:rFonts w:hint="eastAsia" w:ascii="宋体" w:hAnsi="宋体" w:eastAsia="宋体" w:cs="宋体"/>
          <w:sz w:val="32"/>
          <w:szCs w:val="32"/>
          <w:lang w:eastAsia="zh-CN"/>
        </w:rPr>
        <w:t>万元。）比上年</w:t>
      </w:r>
      <w:bookmarkStart w:id="15" w:name="PO_part3A2IncAmount3"/>
      <w:r>
        <w:rPr>
          <w:rFonts w:hint="eastAsia" w:ascii="宋体" w:hAnsi="宋体" w:eastAsia="宋体" w:cs="宋体"/>
          <w:sz w:val="32"/>
          <w:szCs w:val="32"/>
          <w:lang w:eastAsia="zh-CN"/>
        </w:rPr>
        <w:t>增加</w:t>
      </w: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0</w:t>
      </w:r>
      <w:bookmarkEnd w:id="15"/>
      <w:r>
        <w:rPr>
          <w:rFonts w:hint="eastAsia" w:ascii="宋体" w:hAnsi="宋体" w:eastAsia="宋体" w:cs="宋体"/>
          <w:sz w:val="32"/>
          <w:szCs w:val="32"/>
          <w:lang w:eastAsia="zh-CN"/>
        </w:rPr>
        <w:t>万元，</w:t>
      </w:r>
      <w:bookmarkStart w:id="16" w:name="PO_part3A2IncPercent3"/>
      <w:r>
        <w:rPr>
          <w:rFonts w:hint="eastAsia" w:ascii="宋体" w:hAnsi="宋体" w:eastAsia="宋体" w:cs="宋体"/>
          <w:sz w:val="32"/>
          <w:szCs w:val="32"/>
          <w:lang w:eastAsia="zh-CN"/>
        </w:rPr>
        <w:t>增长</w:t>
      </w: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0</w:t>
      </w:r>
      <w:bookmarkEnd w:id="16"/>
      <w:r>
        <w:rPr>
          <w:rFonts w:hint="eastAsia" w:ascii="宋体" w:hAnsi="宋体" w:eastAsia="宋体" w:cs="宋体"/>
          <w:sz w:val="32"/>
          <w:szCs w:val="32"/>
          <w:lang w:eastAsia="zh-CN"/>
        </w:rPr>
        <w:t>%，主要原因是</w:t>
      </w:r>
      <w:bookmarkStart w:id="17" w:name="PO_part3A2IncReason3"/>
      <w:r>
        <w:rPr>
          <w:rFonts w:hint="eastAsia" w:ascii="宋体" w:hAnsi="宋体" w:eastAsia="宋体" w:cs="宋体"/>
          <w:sz w:val="32"/>
          <w:szCs w:val="32"/>
          <w:lang w:eastAsia="zh-CN"/>
        </w:rPr>
        <w:t xml:space="preserve">与上年持平，无增减变化 </w:t>
      </w:r>
      <w:bookmarkEnd w:id="17"/>
      <w:r>
        <w:rPr>
          <w:rFonts w:hint="eastAsia" w:ascii="宋体" w:hAnsi="宋体" w:eastAsia="宋体" w:cs="宋体"/>
          <w:sz w:val="32"/>
          <w:szCs w:val="32"/>
          <w:lang w:eastAsia="zh-CN"/>
        </w:rPr>
        <w:t>；公务接待费</w:t>
      </w:r>
      <w:bookmarkStart w:id="18" w:name="PO_part3A2Amount6"/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4</w:t>
      </w:r>
      <w:r>
        <w:rPr>
          <w:rFonts w:hint="eastAsia" w:ascii="宋体" w:hAnsi="宋体" w:eastAsia="宋体" w:cs="宋体"/>
          <w:sz w:val="32"/>
          <w:szCs w:val="32"/>
          <w:lang w:eastAsia="zh-CN"/>
        </w:rPr>
        <w:t xml:space="preserve"> </w:t>
      </w:r>
      <w:bookmarkEnd w:id="18"/>
      <w:r>
        <w:rPr>
          <w:rFonts w:hint="eastAsia" w:ascii="宋体" w:hAnsi="宋体" w:eastAsia="宋体" w:cs="宋体"/>
          <w:sz w:val="32"/>
          <w:szCs w:val="32"/>
          <w:lang w:eastAsia="zh-CN"/>
        </w:rPr>
        <w:t>万元，比上年</w:t>
      </w:r>
      <w:bookmarkStart w:id="19" w:name="PO_part3A2IncAmount4"/>
      <w:r>
        <w:rPr>
          <w:rFonts w:hint="eastAsia" w:ascii="宋体" w:hAnsi="宋体" w:eastAsia="宋体" w:cs="宋体"/>
          <w:sz w:val="32"/>
          <w:szCs w:val="32"/>
          <w:lang w:eastAsia="zh-CN"/>
        </w:rPr>
        <w:t>增加</w:t>
      </w: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0</w:t>
      </w:r>
      <w:bookmarkEnd w:id="19"/>
      <w:r>
        <w:rPr>
          <w:rFonts w:hint="eastAsia" w:ascii="宋体" w:hAnsi="宋体" w:eastAsia="宋体" w:cs="宋体"/>
          <w:sz w:val="32"/>
          <w:szCs w:val="32"/>
          <w:lang w:eastAsia="zh-CN"/>
        </w:rPr>
        <w:t>万元，</w:t>
      </w:r>
      <w:bookmarkStart w:id="20" w:name="PO_part3A2IncPercent4"/>
      <w:r>
        <w:rPr>
          <w:rFonts w:hint="eastAsia" w:ascii="宋体" w:hAnsi="宋体" w:eastAsia="宋体" w:cs="宋体"/>
          <w:sz w:val="32"/>
          <w:szCs w:val="32"/>
          <w:lang w:eastAsia="zh-CN"/>
        </w:rPr>
        <w:t>增长</w:t>
      </w: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0</w:t>
      </w:r>
      <w:r>
        <w:rPr>
          <w:rFonts w:hint="eastAsia" w:ascii="宋体" w:hAnsi="宋体" w:eastAsia="宋体" w:cs="宋体"/>
          <w:sz w:val="32"/>
          <w:szCs w:val="32"/>
          <w:lang w:eastAsia="zh-CN"/>
        </w:rPr>
        <w:t xml:space="preserve"> </w:t>
      </w:r>
      <w:bookmarkEnd w:id="20"/>
      <w:r>
        <w:rPr>
          <w:rFonts w:hint="eastAsia" w:ascii="宋体" w:hAnsi="宋体" w:eastAsia="宋体" w:cs="宋体"/>
          <w:sz w:val="32"/>
          <w:szCs w:val="32"/>
          <w:lang w:eastAsia="zh-CN"/>
        </w:rPr>
        <w:t>%，主要原因是</w:t>
      </w:r>
      <w:bookmarkStart w:id="21" w:name="PO_part3A2IncReason4"/>
      <w:r>
        <w:rPr>
          <w:rFonts w:hint="eastAsia" w:ascii="宋体" w:hAnsi="宋体" w:eastAsia="宋体" w:cs="宋体"/>
          <w:sz w:val="32"/>
          <w:szCs w:val="32"/>
          <w:lang w:eastAsia="zh-CN"/>
        </w:rPr>
        <w:t>与上年持平，无增减变化</w:t>
      </w:r>
      <w:bookmarkEnd w:id="21"/>
      <w:r>
        <w:rPr>
          <w:rFonts w:hint="eastAsia" w:ascii="宋体" w:hAnsi="宋体" w:eastAsia="宋体" w:cs="宋体"/>
          <w:sz w:val="32"/>
          <w:szCs w:val="32"/>
          <w:lang w:eastAsia="zh-CN"/>
        </w:rPr>
        <w:t>。</w:t>
      </w:r>
    </w:p>
    <w:p>
      <w:pPr>
        <w:ind w:firstLine="640" w:firstLineChars="200"/>
        <w:rPr>
          <w:rFonts w:hint="eastAsia" w:ascii="宋体" w:hAnsi="宋体" w:eastAsia="宋体" w:cs="宋体"/>
          <w:sz w:val="32"/>
          <w:szCs w:val="32"/>
          <w:lang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A985117"/>
    <w:rsid w:val="7A9851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character" w:default="1" w:styleId="5">
    <w:name w:val="Default Paragraph Font"/>
    <w:semiHidden/>
    <w:uiPriority w:val="0"/>
  </w:style>
  <w:style w:type="table" w:default="1" w:styleId="3">
    <w:name w:val="Normal Table"/>
    <w:semiHidden/>
    <w:qFormat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default" w:ascii="Times New Roman" w:hAnsi="Times New Roman" w:cs="Times New Roman"/>
      <w:sz w:val="20"/>
      <w:szCs w:val="20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4">
    <w:name w:val="Table Grid"/>
    <w:basedOn w:val="3"/>
    <w:uiPriority w:val="0"/>
    <w:pPr>
      <w:keepNext w:val="0"/>
      <w:keepLines w:val="0"/>
      <w:widowControl w:val="0"/>
      <w:suppressLineNumbers w:val="0"/>
      <w:spacing w:before="0" w:beforeAutospacing="0" w:after="0" w:afterAutospacing="0"/>
      <w:ind w:left="0" w:right="0"/>
      <w:jc w:val="both"/>
    </w:pPr>
    <w:rPr>
      <w:rFonts w:hint="default" w:ascii="Times New Roman" w:hAnsi="Times New Roman" w:cs="Times New Roman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tc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tcBorders>
    </w:tc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1</Lines>
  <Paragraphs>1</Paragraphs>
  <TotalTime>6</TotalTime>
  <ScaleCrop>false</ScaleCrop>
  <LinksUpToDate>false</LinksUpToDate>
  <CharactersWithSpaces>0</CharactersWithSpaces>
  <Application>WPS Office_11.1.0.11636_F1E327BC-269C-435d-A152-05C5408002CA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2022-04-27T01:21:00Z</dcterms:created>
  <dc:creator></dc:creator>
  <cp:lastModifiedBy></cp:lastModifiedBy>
  <dcterms:modified xsi:type="dcterms:W3CDTF">2022-04-27T01:30:55Z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ICV">
    <vt:lpwstr>1D0F1CA21BC24527A562FF57A9038D85</vt:lpwstr>
  </property>
  <property fmtid="{D5CDD505-2E9C-101B-9397-08002B2CF9AE}" pid="4" name="commondata">
    <vt:lpwstr>eyJoZGlkIjoiM2Q0YmQwMmZhMDBmODQ3N2VjNTkwYzQ3MDEwM2QxMWIifQ==</vt:lpwstr>
  </property>
</Properties>
</file>